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B4539" w:rsidRPr="00E971F1" w:rsidRDefault="007B4539" w:rsidP="00814984">
      <w:pPr>
        <w:pStyle w:val="Normale1"/>
        <w:spacing w:after="0" w:line="240" w:lineRule="auto"/>
        <w:rPr>
          <w:rFonts w:ascii="Times New Roman" w:hAnsi="Times New Roman" w:cs="Times New Roman"/>
          <w:lang w:val="en-US"/>
        </w:rPr>
      </w:pPr>
    </w:p>
    <w:p w:rsidR="007B4539" w:rsidRPr="00E971F1" w:rsidRDefault="007B4539" w:rsidP="00814984">
      <w:pPr>
        <w:pStyle w:val="Normale1"/>
        <w:spacing w:after="0" w:line="240" w:lineRule="auto"/>
        <w:rPr>
          <w:rFonts w:ascii="Times New Roman" w:hAnsi="Times New Roman" w:cs="Times New Roman"/>
          <w:lang w:val="en-US"/>
        </w:rPr>
      </w:pPr>
    </w:p>
    <w:p w:rsidR="007B4539" w:rsidRPr="00E971F1" w:rsidRDefault="007B4539" w:rsidP="00814984">
      <w:pPr>
        <w:pStyle w:val="Normale1"/>
        <w:spacing w:after="0" w:line="240" w:lineRule="auto"/>
        <w:rPr>
          <w:rFonts w:ascii="Times New Roman" w:hAnsi="Times New Roman" w:cs="Times New Roman"/>
          <w:lang w:val="en-US"/>
        </w:rPr>
      </w:pPr>
    </w:p>
    <w:p w:rsidR="007B4539" w:rsidRPr="00E971F1" w:rsidRDefault="007B4539" w:rsidP="00814984">
      <w:pPr>
        <w:pStyle w:val="Normale1"/>
        <w:spacing w:after="0" w:line="240" w:lineRule="auto"/>
        <w:rPr>
          <w:rFonts w:ascii="Times New Roman" w:hAnsi="Times New Roman" w:cs="Times New Roman"/>
          <w:lang w:val="en-US"/>
        </w:rPr>
      </w:pPr>
    </w:p>
    <w:p w:rsidR="007B4539" w:rsidRPr="00E971F1" w:rsidRDefault="007B4539"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164C60" w:rsidP="00E971F1">
      <w:pPr>
        <w:pStyle w:val="Normale1"/>
        <w:spacing w:after="0" w:line="240" w:lineRule="auto"/>
        <w:jc w:val="center"/>
        <w:rPr>
          <w:rFonts w:ascii="Times New Roman" w:hAnsi="Times New Roman" w:cs="Times New Roman"/>
          <w:sz w:val="24"/>
          <w:szCs w:val="24"/>
          <w:lang w:val="en-US"/>
        </w:rPr>
      </w:pPr>
      <w:r w:rsidRPr="00E971F1">
        <w:rPr>
          <w:rFonts w:ascii="Times New Roman" w:hAnsi="Times New Roman" w:cs="Times New Roman"/>
          <w:b/>
          <w:sz w:val="24"/>
          <w:szCs w:val="24"/>
          <w:lang w:val="en-US"/>
        </w:rPr>
        <w:t>Strategic Partnerships for School Education</w:t>
      </w:r>
    </w:p>
    <w:p w:rsidR="007B4539" w:rsidRPr="00E971F1" w:rsidRDefault="00164C60" w:rsidP="00814984">
      <w:pPr>
        <w:pStyle w:val="Normale1"/>
        <w:spacing w:after="0" w:line="240" w:lineRule="auto"/>
        <w:jc w:val="center"/>
        <w:rPr>
          <w:rFonts w:ascii="Times New Roman" w:hAnsi="Times New Roman" w:cs="Times New Roman"/>
          <w:sz w:val="24"/>
          <w:szCs w:val="24"/>
          <w:lang w:val="en-US"/>
        </w:rPr>
      </w:pPr>
      <w:r w:rsidRPr="00E971F1">
        <w:rPr>
          <w:rFonts w:ascii="Times New Roman" w:hAnsi="Times New Roman" w:cs="Times New Roman"/>
          <w:b/>
          <w:sz w:val="24"/>
          <w:szCs w:val="24"/>
          <w:lang w:val="en-US"/>
        </w:rPr>
        <w:t>Cooperation for innovation and the exchange of good practices</w:t>
      </w:r>
    </w:p>
    <w:p w:rsidR="007B4539" w:rsidRPr="00E971F1" w:rsidRDefault="007B4539" w:rsidP="00E971F1">
      <w:pPr>
        <w:pStyle w:val="Normale1"/>
        <w:spacing w:after="0" w:line="240" w:lineRule="auto"/>
        <w:rPr>
          <w:rFonts w:ascii="Times New Roman" w:hAnsi="Times New Roman" w:cs="Times New Roman"/>
          <w:sz w:val="24"/>
          <w:szCs w:val="24"/>
          <w:lang w:val="en-US"/>
        </w:rPr>
      </w:pPr>
    </w:p>
    <w:p w:rsidR="007B4539" w:rsidRPr="00E971F1" w:rsidRDefault="00164C60" w:rsidP="00814984">
      <w:pPr>
        <w:pStyle w:val="Normale1"/>
        <w:spacing w:after="0" w:line="240" w:lineRule="auto"/>
        <w:jc w:val="center"/>
        <w:rPr>
          <w:rFonts w:ascii="Times New Roman" w:hAnsi="Times New Roman" w:cs="Times New Roman"/>
          <w:sz w:val="24"/>
          <w:szCs w:val="24"/>
          <w:lang w:val="en-US"/>
        </w:rPr>
      </w:pPr>
      <w:r w:rsidRPr="00E971F1">
        <w:rPr>
          <w:rFonts w:ascii="Times New Roman" w:hAnsi="Times New Roman" w:cs="Times New Roman"/>
          <w:b/>
          <w:sz w:val="24"/>
          <w:szCs w:val="24"/>
          <w:lang w:val="en-US"/>
        </w:rPr>
        <w:t>Reading Early School leaving signals - RESCUE</w:t>
      </w:r>
    </w:p>
    <w:p w:rsidR="007B4539" w:rsidRPr="00E971F1" w:rsidRDefault="007B4539" w:rsidP="00814984">
      <w:pPr>
        <w:pStyle w:val="Normale1"/>
        <w:spacing w:after="0" w:line="240" w:lineRule="auto"/>
        <w:rPr>
          <w:rFonts w:ascii="Times New Roman" w:hAnsi="Times New Roman" w:cs="Times New Roman"/>
          <w:lang w:val="en-US"/>
        </w:rPr>
      </w:pPr>
    </w:p>
    <w:p w:rsidR="007B4539" w:rsidRPr="00E971F1" w:rsidRDefault="007B4539" w:rsidP="00814984">
      <w:pPr>
        <w:pStyle w:val="Normale1"/>
        <w:spacing w:after="0" w:line="240" w:lineRule="auto"/>
        <w:rPr>
          <w:rFonts w:ascii="Times New Roman" w:hAnsi="Times New Roman" w:cs="Times New Roman"/>
          <w:lang w:val="en-US"/>
        </w:rPr>
      </w:pPr>
    </w:p>
    <w:p w:rsidR="007B4539" w:rsidRPr="00E971F1" w:rsidRDefault="007B4539" w:rsidP="00814984">
      <w:pPr>
        <w:pStyle w:val="Normale1"/>
        <w:spacing w:after="0" w:line="240" w:lineRule="auto"/>
        <w:rPr>
          <w:rFonts w:ascii="Times New Roman" w:hAnsi="Times New Roman" w:cs="Times New Roman"/>
          <w:lang w:val="en-US"/>
        </w:rPr>
      </w:pPr>
    </w:p>
    <w:p w:rsidR="00814984" w:rsidRPr="00E971F1" w:rsidRDefault="00960CB7" w:rsidP="00960CB7">
      <w:pPr>
        <w:pStyle w:val="Normale1"/>
        <w:spacing w:after="0" w:line="240" w:lineRule="auto"/>
        <w:jc w:val="center"/>
        <w:rPr>
          <w:rFonts w:ascii="Times New Roman" w:hAnsi="Times New Roman" w:cs="Times New Roman"/>
          <w:b/>
          <w:sz w:val="56"/>
          <w:szCs w:val="56"/>
          <w:lang w:val="en-US"/>
        </w:rPr>
      </w:pPr>
      <w:r>
        <w:rPr>
          <w:rFonts w:ascii="Times New Roman" w:hAnsi="Times New Roman" w:cs="Times New Roman"/>
          <w:b/>
          <w:sz w:val="56"/>
          <w:szCs w:val="56"/>
          <w:lang w:val="en-US"/>
        </w:rPr>
        <w:t xml:space="preserve">Country Report </w:t>
      </w:r>
    </w:p>
    <w:p w:rsidR="007B4539" w:rsidRPr="00E971F1" w:rsidRDefault="00814984" w:rsidP="00814984">
      <w:pPr>
        <w:pStyle w:val="Normale1"/>
        <w:spacing w:after="0" w:line="240" w:lineRule="auto"/>
        <w:jc w:val="center"/>
        <w:rPr>
          <w:rFonts w:ascii="Times New Roman" w:hAnsi="Times New Roman" w:cs="Times New Roman"/>
          <w:sz w:val="56"/>
          <w:szCs w:val="56"/>
          <w:lang w:val="en-US"/>
        </w:rPr>
      </w:pPr>
      <w:r w:rsidRPr="00E971F1">
        <w:rPr>
          <w:rFonts w:ascii="Times New Roman" w:hAnsi="Times New Roman" w:cs="Times New Roman"/>
          <w:b/>
          <w:sz w:val="56"/>
          <w:szCs w:val="56"/>
          <w:lang w:val="en-US"/>
        </w:rPr>
        <w:t>Italy</w:t>
      </w:r>
    </w:p>
    <w:p w:rsidR="007B4539" w:rsidRPr="00E971F1" w:rsidRDefault="007B4539" w:rsidP="00814984">
      <w:pPr>
        <w:pStyle w:val="Normale1"/>
        <w:spacing w:after="0" w:line="240" w:lineRule="auto"/>
        <w:rPr>
          <w:rFonts w:ascii="Times New Roman" w:hAnsi="Times New Roman" w:cs="Times New Roman"/>
          <w:lang w:val="en-US"/>
        </w:rPr>
      </w:pPr>
    </w:p>
    <w:p w:rsidR="007B4539" w:rsidRPr="00E971F1" w:rsidRDefault="007B4539" w:rsidP="00814984">
      <w:pPr>
        <w:pStyle w:val="Normale1"/>
        <w:spacing w:after="0" w:line="240" w:lineRule="auto"/>
        <w:rPr>
          <w:rFonts w:ascii="Times New Roman" w:hAnsi="Times New Roman" w:cs="Times New Roman"/>
          <w:lang w:val="en-US"/>
        </w:rPr>
      </w:pPr>
    </w:p>
    <w:p w:rsidR="007B4539" w:rsidRPr="00E971F1" w:rsidRDefault="007B4539" w:rsidP="00814984">
      <w:pPr>
        <w:pStyle w:val="Normale1"/>
        <w:spacing w:after="0" w:line="240" w:lineRule="auto"/>
        <w:rPr>
          <w:rFonts w:ascii="Times New Roman" w:hAnsi="Times New Roman" w:cs="Times New Roman"/>
          <w:lang w:val="en-US"/>
        </w:rPr>
      </w:pPr>
    </w:p>
    <w:p w:rsidR="007B4539" w:rsidRPr="00E971F1" w:rsidRDefault="007B4539"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814984" w:rsidRPr="00E971F1" w:rsidRDefault="00814984" w:rsidP="00814984">
      <w:pPr>
        <w:pStyle w:val="Normale1"/>
        <w:spacing w:after="0" w:line="240" w:lineRule="auto"/>
        <w:rPr>
          <w:rFonts w:ascii="Times New Roman" w:hAnsi="Times New Roman" w:cs="Times New Roman"/>
          <w:lang w:val="en-US"/>
        </w:rPr>
      </w:pPr>
    </w:p>
    <w:p w:rsidR="007B4539" w:rsidRPr="00E971F1" w:rsidRDefault="007B4539" w:rsidP="00814984">
      <w:pPr>
        <w:pStyle w:val="Normale1"/>
        <w:spacing w:after="0" w:line="240" w:lineRule="auto"/>
        <w:rPr>
          <w:rFonts w:ascii="Times New Roman" w:hAnsi="Times New Roman" w:cs="Times New Roman"/>
          <w:lang w:val="en-US"/>
        </w:rPr>
      </w:pPr>
    </w:p>
    <w:sdt>
      <w:sdtPr>
        <w:rPr>
          <w:rFonts w:ascii="Times New Roman" w:eastAsiaTheme="minorEastAsia" w:hAnsi="Times New Roman" w:cs="Times New Roman"/>
          <w:b w:val="0"/>
          <w:bCs w:val="0"/>
          <w:color w:val="auto"/>
          <w:sz w:val="22"/>
          <w:szCs w:val="22"/>
          <w:lang w:val="en-US"/>
        </w:rPr>
        <w:id w:val="232927036"/>
        <w:docPartObj>
          <w:docPartGallery w:val="Table of Contents"/>
          <w:docPartUnique/>
        </w:docPartObj>
      </w:sdtPr>
      <w:sdtContent>
        <w:p w:rsidR="007F3B23" w:rsidRPr="00E971F1" w:rsidRDefault="007F3B23" w:rsidP="00814984">
          <w:pPr>
            <w:pStyle w:val="Titolosommario"/>
            <w:spacing w:before="0" w:line="240" w:lineRule="auto"/>
            <w:jc w:val="both"/>
            <w:rPr>
              <w:rFonts w:ascii="Times New Roman" w:hAnsi="Times New Roman" w:cs="Times New Roman"/>
              <w:color w:val="auto"/>
              <w:lang w:val="en-US"/>
            </w:rPr>
          </w:pPr>
          <w:r w:rsidRPr="00E971F1">
            <w:rPr>
              <w:rFonts w:ascii="Times New Roman" w:hAnsi="Times New Roman" w:cs="Times New Roman"/>
              <w:color w:val="auto"/>
              <w:lang w:val="en-US"/>
            </w:rPr>
            <w:t>Contents</w:t>
          </w:r>
        </w:p>
        <w:p w:rsidR="008A5BAD" w:rsidRPr="00E971F1" w:rsidRDefault="008A5BAD" w:rsidP="00814984">
          <w:pPr>
            <w:spacing w:after="0" w:line="240" w:lineRule="auto"/>
            <w:rPr>
              <w:rFonts w:ascii="Times New Roman" w:hAnsi="Times New Roman" w:cs="Times New Roman"/>
              <w:lang w:val="en-US"/>
            </w:rPr>
          </w:pPr>
        </w:p>
        <w:p w:rsidR="00ED6C68" w:rsidRPr="00ED6C68" w:rsidRDefault="007F3B23">
          <w:pPr>
            <w:pStyle w:val="Sommario1"/>
            <w:tabs>
              <w:tab w:val="right" w:leader="dot" w:pos="9350"/>
            </w:tabs>
            <w:rPr>
              <w:rFonts w:ascii="Times New Roman" w:hAnsi="Times New Roman" w:cs="Times New Roman"/>
              <w:noProof/>
              <w:sz w:val="24"/>
              <w:szCs w:val="24"/>
            </w:rPr>
          </w:pPr>
          <w:r w:rsidRPr="00E971F1">
            <w:rPr>
              <w:rFonts w:ascii="Times New Roman" w:hAnsi="Times New Roman" w:cs="Times New Roman"/>
              <w:lang w:val="en-US"/>
            </w:rPr>
            <w:fldChar w:fldCharType="begin"/>
          </w:r>
          <w:r w:rsidRPr="00E971F1">
            <w:rPr>
              <w:rFonts w:ascii="Times New Roman" w:hAnsi="Times New Roman" w:cs="Times New Roman"/>
              <w:lang w:val="en-US"/>
            </w:rPr>
            <w:instrText xml:space="preserve"> TOC \o "1-3" \h \z \u </w:instrText>
          </w:r>
          <w:r w:rsidRPr="00E971F1">
            <w:rPr>
              <w:rFonts w:ascii="Times New Roman" w:hAnsi="Times New Roman" w:cs="Times New Roman"/>
              <w:lang w:val="en-US"/>
            </w:rPr>
            <w:fldChar w:fldCharType="separate"/>
          </w:r>
          <w:hyperlink w:anchor="_Toc471117699" w:history="1">
            <w:r w:rsidR="00ED6C68" w:rsidRPr="00ED6C68">
              <w:rPr>
                <w:rStyle w:val="Collegamentoipertestuale"/>
                <w:rFonts w:ascii="Times New Roman" w:hAnsi="Times New Roman" w:cs="Times New Roman"/>
                <w:noProof/>
                <w:sz w:val="24"/>
                <w:szCs w:val="24"/>
                <w:lang w:val="en-US"/>
              </w:rPr>
              <w:t>The education system structure in Italy: short description</w:t>
            </w:r>
            <w:r w:rsidR="00ED6C68" w:rsidRPr="00ED6C68">
              <w:rPr>
                <w:rFonts w:ascii="Times New Roman" w:hAnsi="Times New Roman" w:cs="Times New Roman"/>
                <w:noProof/>
                <w:webHidden/>
                <w:sz w:val="24"/>
                <w:szCs w:val="24"/>
              </w:rPr>
              <w:tab/>
            </w:r>
            <w:r w:rsidR="00ED6C68" w:rsidRPr="00ED6C68">
              <w:rPr>
                <w:rFonts w:ascii="Times New Roman" w:hAnsi="Times New Roman" w:cs="Times New Roman"/>
                <w:noProof/>
                <w:webHidden/>
                <w:sz w:val="24"/>
                <w:szCs w:val="24"/>
              </w:rPr>
              <w:fldChar w:fldCharType="begin"/>
            </w:r>
            <w:r w:rsidR="00ED6C68" w:rsidRPr="00ED6C68">
              <w:rPr>
                <w:rFonts w:ascii="Times New Roman" w:hAnsi="Times New Roman" w:cs="Times New Roman"/>
                <w:noProof/>
                <w:webHidden/>
                <w:sz w:val="24"/>
                <w:szCs w:val="24"/>
              </w:rPr>
              <w:instrText xml:space="preserve"> PAGEREF _Toc471117699 \h </w:instrText>
            </w:r>
            <w:r w:rsidR="00ED6C68" w:rsidRPr="00ED6C68">
              <w:rPr>
                <w:rFonts w:ascii="Times New Roman" w:hAnsi="Times New Roman" w:cs="Times New Roman"/>
                <w:noProof/>
                <w:webHidden/>
                <w:sz w:val="24"/>
                <w:szCs w:val="24"/>
              </w:rPr>
            </w:r>
            <w:r w:rsidR="00ED6C68" w:rsidRPr="00ED6C68">
              <w:rPr>
                <w:rFonts w:ascii="Times New Roman" w:hAnsi="Times New Roman" w:cs="Times New Roman"/>
                <w:noProof/>
                <w:webHidden/>
                <w:sz w:val="24"/>
                <w:szCs w:val="24"/>
              </w:rPr>
              <w:fldChar w:fldCharType="separate"/>
            </w:r>
            <w:r w:rsidR="00960CB7">
              <w:rPr>
                <w:rFonts w:ascii="Times New Roman" w:hAnsi="Times New Roman" w:cs="Times New Roman"/>
                <w:noProof/>
                <w:webHidden/>
                <w:sz w:val="24"/>
                <w:szCs w:val="24"/>
              </w:rPr>
              <w:t>3</w:t>
            </w:r>
            <w:r w:rsidR="00ED6C68" w:rsidRPr="00ED6C68">
              <w:rPr>
                <w:rFonts w:ascii="Times New Roman" w:hAnsi="Times New Roman" w:cs="Times New Roman"/>
                <w:noProof/>
                <w:webHidden/>
                <w:sz w:val="24"/>
                <w:szCs w:val="24"/>
              </w:rPr>
              <w:fldChar w:fldCharType="end"/>
            </w:r>
          </w:hyperlink>
        </w:p>
        <w:p w:rsidR="00ED6C68" w:rsidRPr="00ED6C68" w:rsidRDefault="00ED6C68">
          <w:pPr>
            <w:pStyle w:val="Sommario1"/>
            <w:tabs>
              <w:tab w:val="right" w:leader="dot" w:pos="9350"/>
            </w:tabs>
            <w:rPr>
              <w:rFonts w:ascii="Times New Roman" w:hAnsi="Times New Roman" w:cs="Times New Roman"/>
              <w:noProof/>
              <w:sz w:val="24"/>
              <w:szCs w:val="24"/>
            </w:rPr>
          </w:pPr>
          <w:hyperlink w:anchor="_Toc471117700" w:history="1">
            <w:r w:rsidRPr="00ED6C68">
              <w:rPr>
                <w:rStyle w:val="Collegamentoipertestuale"/>
                <w:rFonts w:ascii="Times New Roman" w:hAnsi="Times New Roman" w:cs="Times New Roman"/>
                <w:iCs/>
                <w:noProof/>
                <w:sz w:val="24"/>
                <w:szCs w:val="24"/>
                <w:lang w:val="en-US"/>
              </w:rPr>
              <w:t>Factors contributing to students leaving the education system early in Italy</w:t>
            </w:r>
            <w:r w:rsidRPr="00ED6C68">
              <w:rPr>
                <w:rFonts w:ascii="Times New Roman" w:hAnsi="Times New Roman" w:cs="Times New Roman"/>
                <w:noProof/>
                <w:webHidden/>
                <w:sz w:val="24"/>
                <w:szCs w:val="24"/>
              </w:rPr>
              <w:tab/>
            </w:r>
            <w:r w:rsidRPr="00ED6C68">
              <w:rPr>
                <w:rFonts w:ascii="Times New Roman" w:hAnsi="Times New Roman" w:cs="Times New Roman"/>
                <w:noProof/>
                <w:webHidden/>
                <w:sz w:val="24"/>
                <w:szCs w:val="24"/>
              </w:rPr>
              <w:fldChar w:fldCharType="begin"/>
            </w:r>
            <w:r w:rsidRPr="00ED6C68">
              <w:rPr>
                <w:rFonts w:ascii="Times New Roman" w:hAnsi="Times New Roman" w:cs="Times New Roman"/>
                <w:noProof/>
                <w:webHidden/>
                <w:sz w:val="24"/>
                <w:szCs w:val="24"/>
              </w:rPr>
              <w:instrText xml:space="preserve"> PAGEREF _Toc471117700 \h </w:instrText>
            </w:r>
            <w:r w:rsidRPr="00ED6C68">
              <w:rPr>
                <w:rFonts w:ascii="Times New Roman" w:hAnsi="Times New Roman" w:cs="Times New Roman"/>
                <w:noProof/>
                <w:webHidden/>
                <w:sz w:val="24"/>
                <w:szCs w:val="24"/>
              </w:rPr>
            </w:r>
            <w:r w:rsidRPr="00ED6C68">
              <w:rPr>
                <w:rFonts w:ascii="Times New Roman" w:hAnsi="Times New Roman" w:cs="Times New Roman"/>
                <w:noProof/>
                <w:webHidden/>
                <w:sz w:val="24"/>
                <w:szCs w:val="24"/>
              </w:rPr>
              <w:fldChar w:fldCharType="separate"/>
            </w:r>
            <w:r w:rsidR="00960CB7">
              <w:rPr>
                <w:rFonts w:ascii="Times New Roman" w:hAnsi="Times New Roman" w:cs="Times New Roman"/>
                <w:noProof/>
                <w:webHidden/>
                <w:sz w:val="24"/>
                <w:szCs w:val="24"/>
              </w:rPr>
              <w:t>3</w:t>
            </w:r>
            <w:r w:rsidRPr="00ED6C68">
              <w:rPr>
                <w:rFonts w:ascii="Times New Roman" w:hAnsi="Times New Roman" w:cs="Times New Roman"/>
                <w:noProof/>
                <w:webHidden/>
                <w:sz w:val="24"/>
                <w:szCs w:val="24"/>
              </w:rPr>
              <w:fldChar w:fldCharType="end"/>
            </w:r>
          </w:hyperlink>
        </w:p>
        <w:p w:rsidR="00ED6C68" w:rsidRPr="00ED6C68" w:rsidRDefault="00ED6C68">
          <w:pPr>
            <w:pStyle w:val="Sommario1"/>
            <w:tabs>
              <w:tab w:val="right" w:leader="dot" w:pos="9350"/>
            </w:tabs>
            <w:rPr>
              <w:rFonts w:ascii="Times New Roman" w:hAnsi="Times New Roman" w:cs="Times New Roman"/>
              <w:noProof/>
              <w:sz w:val="24"/>
              <w:szCs w:val="24"/>
            </w:rPr>
          </w:pPr>
          <w:hyperlink w:anchor="_Toc471117701" w:history="1">
            <w:r w:rsidRPr="00ED6C68">
              <w:rPr>
                <w:rStyle w:val="Collegamentoipertestuale"/>
                <w:rFonts w:ascii="Times New Roman" w:hAnsi="Times New Roman" w:cs="Times New Roman"/>
                <w:iCs/>
                <w:noProof/>
                <w:sz w:val="24"/>
                <w:szCs w:val="24"/>
                <w:lang w:val="en-US"/>
              </w:rPr>
              <w:t>Vulnerable groups of student identifiable as at risk in Italy: schools: facts and figures</w:t>
            </w:r>
            <w:r w:rsidRPr="00ED6C68">
              <w:rPr>
                <w:rFonts w:ascii="Times New Roman" w:hAnsi="Times New Roman" w:cs="Times New Roman"/>
                <w:noProof/>
                <w:webHidden/>
                <w:sz w:val="24"/>
                <w:szCs w:val="24"/>
              </w:rPr>
              <w:tab/>
            </w:r>
            <w:r w:rsidRPr="00ED6C68">
              <w:rPr>
                <w:rFonts w:ascii="Times New Roman" w:hAnsi="Times New Roman" w:cs="Times New Roman"/>
                <w:noProof/>
                <w:webHidden/>
                <w:sz w:val="24"/>
                <w:szCs w:val="24"/>
              </w:rPr>
              <w:fldChar w:fldCharType="begin"/>
            </w:r>
            <w:r w:rsidRPr="00ED6C68">
              <w:rPr>
                <w:rFonts w:ascii="Times New Roman" w:hAnsi="Times New Roman" w:cs="Times New Roman"/>
                <w:noProof/>
                <w:webHidden/>
                <w:sz w:val="24"/>
                <w:szCs w:val="24"/>
              </w:rPr>
              <w:instrText xml:space="preserve"> PAGEREF _Toc471117701 \h </w:instrText>
            </w:r>
            <w:r w:rsidRPr="00ED6C68">
              <w:rPr>
                <w:rFonts w:ascii="Times New Roman" w:hAnsi="Times New Roman" w:cs="Times New Roman"/>
                <w:noProof/>
                <w:webHidden/>
                <w:sz w:val="24"/>
                <w:szCs w:val="24"/>
              </w:rPr>
            </w:r>
            <w:r w:rsidRPr="00ED6C68">
              <w:rPr>
                <w:rFonts w:ascii="Times New Roman" w:hAnsi="Times New Roman" w:cs="Times New Roman"/>
                <w:noProof/>
                <w:webHidden/>
                <w:sz w:val="24"/>
                <w:szCs w:val="24"/>
              </w:rPr>
              <w:fldChar w:fldCharType="separate"/>
            </w:r>
            <w:r w:rsidR="00960CB7">
              <w:rPr>
                <w:rFonts w:ascii="Times New Roman" w:hAnsi="Times New Roman" w:cs="Times New Roman"/>
                <w:noProof/>
                <w:webHidden/>
                <w:sz w:val="24"/>
                <w:szCs w:val="24"/>
              </w:rPr>
              <w:t>7</w:t>
            </w:r>
            <w:r w:rsidRPr="00ED6C68">
              <w:rPr>
                <w:rFonts w:ascii="Times New Roman" w:hAnsi="Times New Roman" w:cs="Times New Roman"/>
                <w:noProof/>
                <w:webHidden/>
                <w:sz w:val="24"/>
                <w:szCs w:val="24"/>
              </w:rPr>
              <w:fldChar w:fldCharType="end"/>
            </w:r>
          </w:hyperlink>
        </w:p>
        <w:p w:rsidR="00ED6C68" w:rsidRPr="00ED6C68" w:rsidRDefault="00ED6C68">
          <w:pPr>
            <w:pStyle w:val="Sommario1"/>
            <w:tabs>
              <w:tab w:val="right" w:leader="dot" w:pos="9350"/>
            </w:tabs>
            <w:rPr>
              <w:rFonts w:ascii="Times New Roman" w:hAnsi="Times New Roman" w:cs="Times New Roman"/>
              <w:noProof/>
              <w:sz w:val="24"/>
              <w:szCs w:val="24"/>
            </w:rPr>
          </w:pPr>
          <w:hyperlink w:anchor="_Toc471117702" w:history="1">
            <w:r w:rsidRPr="00ED6C68">
              <w:rPr>
                <w:rStyle w:val="Collegamentoipertestuale"/>
                <w:rFonts w:ascii="Times New Roman" w:hAnsi="Times New Roman" w:cs="Times New Roman"/>
                <w:noProof/>
                <w:sz w:val="24"/>
                <w:szCs w:val="24"/>
                <w:lang w:val="en-US"/>
              </w:rPr>
              <w:t>Strategies, policies and measures against early leaving adopted in Italy</w:t>
            </w:r>
            <w:r w:rsidRPr="00ED6C68">
              <w:rPr>
                <w:rFonts w:ascii="Times New Roman" w:hAnsi="Times New Roman" w:cs="Times New Roman"/>
                <w:noProof/>
                <w:webHidden/>
                <w:sz w:val="24"/>
                <w:szCs w:val="24"/>
              </w:rPr>
              <w:tab/>
            </w:r>
            <w:r w:rsidRPr="00ED6C68">
              <w:rPr>
                <w:rFonts w:ascii="Times New Roman" w:hAnsi="Times New Roman" w:cs="Times New Roman"/>
                <w:noProof/>
                <w:webHidden/>
                <w:sz w:val="24"/>
                <w:szCs w:val="24"/>
              </w:rPr>
              <w:fldChar w:fldCharType="begin"/>
            </w:r>
            <w:r w:rsidRPr="00ED6C68">
              <w:rPr>
                <w:rFonts w:ascii="Times New Roman" w:hAnsi="Times New Roman" w:cs="Times New Roman"/>
                <w:noProof/>
                <w:webHidden/>
                <w:sz w:val="24"/>
                <w:szCs w:val="24"/>
              </w:rPr>
              <w:instrText xml:space="preserve"> PAGEREF _Toc471117702 \h </w:instrText>
            </w:r>
            <w:r w:rsidRPr="00ED6C68">
              <w:rPr>
                <w:rFonts w:ascii="Times New Roman" w:hAnsi="Times New Roman" w:cs="Times New Roman"/>
                <w:noProof/>
                <w:webHidden/>
                <w:sz w:val="24"/>
                <w:szCs w:val="24"/>
              </w:rPr>
            </w:r>
            <w:r w:rsidRPr="00ED6C68">
              <w:rPr>
                <w:rFonts w:ascii="Times New Roman" w:hAnsi="Times New Roman" w:cs="Times New Roman"/>
                <w:noProof/>
                <w:webHidden/>
                <w:sz w:val="24"/>
                <w:szCs w:val="24"/>
              </w:rPr>
              <w:fldChar w:fldCharType="separate"/>
            </w:r>
            <w:r w:rsidR="00960CB7">
              <w:rPr>
                <w:rFonts w:ascii="Times New Roman" w:hAnsi="Times New Roman" w:cs="Times New Roman"/>
                <w:noProof/>
                <w:webHidden/>
                <w:sz w:val="24"/>
                <w:szCs w:val="24"/>
              </w:rPr>
              <w:t>8</w:t>
            </w:r>
            <w:r w:rsidRPr="00ED6C68">
              <w:rPr>
                <w:rFonts w:ascii="Times New Roman" w:hAnsi="Times New Roman" w:cs="Times New Roman"/>
                <w:noProof/>
                <w:webHidden/>
                <w:sz w:val="24"/>
                <w:szCs w:val="24"/>
              </w:rPr>
              <w:fldChar w:fldCharType="end"/>
            </w:r>
          </w:hyperlink>
        </w:p>
        <w:p w:rsidR="00ED6C68" w:rsidRPr="00ED6C68" w:rsidRDefault="00ED6C68">
          <w:pPr>
            <w:pStyle w:val="Sommario1"/>
            <w:tabs>
              <w:tab w:val="right" w:leader="dot" w:pos="9350"/>
            </w:tabs>
            <w:rPr>
              <w:rFonts w:ascii="Times New Roman" w:hAnsi="Times New Roman" w:cs="Times New Roman"/>
              <w:noProof/>
              <w:sz w:val="24"/>
              <w:szCs w:val="24"/>
            </w:rPr>
          </w:pPr>
          <w:hyperlink w:anchor="_Toc471117703" w:history="1">
            <w:r w:rsidRPr="00ED6C68">
              <w:rPr>
                <w:rStyle w:val="Collegamentoipertestuale"/>
                <w:rFonts w:ascii="Times New Roman" w:hAnsi="Times New Roman" w:cs="Times New Roman"/>
                <w:iCs/>
                <w:noProof/>
                <w:sz w:val="24"/>
                <w:szCs w:val="24"/>
                <w:lang w:val="en-US"/>
              </w:rPr>
              <w:t>Governance and cross-sector cooperation in the area of early leaving</w:t>
            </w:r>
            <w:r w:rsidRPr="00ED6C68">
              <w:rPr>
                <w:rFonts w:ascii="Times New Roman" w:hAnsi="Times New Roman" w:cs="Times New Roman"/>
                <w:noProof/>
                <w:webHidden/>
                <w:sz w:val="24"/>
                <w:szCs w:val="24"/>
              </w:rPr>
              <w:tab/>
            </w:r>
            <w:r w:rsidRPr="00ED6C68">
              <w:rPr>
                <w:rFonts w:ascii="Times New Roman" w:hAnsi="Times New Roman" w:cs="Times New Roman"/>
                <w:noProof/>
                <w:webHidden/>
                <w:sz w:val="24"/>
                <w:szCs w:val="24"/>
              </w:rPr>
              <w:fldChar w:fldCharType="begin"/>
            </w:r>
            <w:r w:rsidRPr="00ED6C68">
              <w:rPr>
                <w:rFonts w:ascii="Times New Roman" w:hAnsi="Times New Roman" w:cs="Times New Roman"/>
                <w:noProof/>
                <w:webHidden/>
                <w:sz w:val="24"/>
                <w:szCs w:val="24"/>
              </w:rPr>
              <w:instrText xml:space="preserve"> PAGEREF _Toc471117703 \h </w:instrText>
            </w:r>
            <w:r w:rsidRPr="00ED6C68">
              <w:rPr>
                <w:rFonts w:ascii="Times New Roman" w:hAnsi="Times New Roman" w:cs="Times New Roman"/>
                <w:noProof/>
                <w:webHidden/>
                <w:sz w:val="24"/>
                <w:szCs w:val="24"/>
              </w:rPr>
            </w:r>
            <w:r w:rsidRPr="00ED6C68">
              <w:rPr>
                <w:rFonts w:ascii="Times New Roman" w:hAnsi="Times New Roman" w:cs="Times New Roman"/>
                <w:noProof/>
                <w:webHidden/>
                <w:sz w:val="24"/>
                <w:szCs w:val="24"/>
              </w:rPr>
              <w:fldChar w:fldCharType="separate"/>
            </w:r>
            <w:r w:rsidR="00960CB7">
              <w:rPr>
                <w:rFonts w:ascii="Times New Roman" w:hAnsi="Times New Roman" w:cs="Times New Roman"/>
                <w:noProof/>
                <w:webHidden/>
                <w:sz w:val="24"/>
                <w:szCs w:val="24"/>
              </w:rPr>
              <w:t>10</w:t>
            </w:r>
            <w:r w:rsidRPr="00ED6C68">
              <w:rPr>
                <w:rFonts w:ascii="Times New Roman" w:hAnsi="Times New Roman" w:cs="Times New Roman"/>
                <w:noProof/>
                <w:webHidden/>
                <w:sz w:val="24"/>
                <w:szCs w:val="24"/>
              </w:rPr>
              <w:fldChar w:fldCharType="end"/>
            </w:r>
          </w:hyperlink>
        </w:p>
        <w:p w:rsidR="00ED6C68" w:rsidRPr="00ED6C68" w:rsidRDefault="00ED6C68">
          <w:pPr>
            <w:pStyle w:val="Sommario1"/>
            <w:tabs>
              <w:tab w:val="right" w:leader="dot" w:pos="9350"/>
            </w:tabs>
            <w:rPr>
              <w:rFonts w:ascii="Times New Roman" w:hAnsi="Times New Roman" w:cs="Times New Roman"/>
              <w:noProof/>
              <w:sz w:val="24"/>
              <w:szCs w:val="24"/>
            </w:rPr>
          </w:pPr>
          <w:hyperlink w:anchor="_Toc471117704" w:history="1">
            <w:r w:rsidRPr="00ED6C68">
              <w:rPr>
                <w:rStyle w:val="Collegamentoipertestuale"/>
                <w:rFonts w:ascii="Times New Roman" w:hAnsi="Times New Roman" w:cs="Times New Roman"/>
                <w:noProof/>
                <w:sz w:val="24"/>
                <w:szCs w:val="24"/>
                <w:lang w:val="en-US"/>
              </w:rPr>
              <w:t>The role of education in tackling early leaving: examples of good practices and case analysis</w:t>
            </w:r>
            <w:r w:rsidRPr="00ED6C68">
              <w:rPr>
                <w:rFonts w:ascii="Times New Roman" w:hAnsi="Times New Roman" w:cs="Times New Roman"/>
                <w:noProof/>
                <w:webHidden/>
                <w:sz w:val="24"/>
                <w:szCs w:val="24"/>
              </w:rPr>
              <w:tab/>
            </w:r>
            <w:r w:rsidRPr="00ED6C68">
              <w:rPr>
                <w:rFonts w:ascii="Times New Roman" w:hAnsi="Times New Roman" w:cs="Times New Roman"/>
                <w:noProof/>
                <w:webHidden/>
                <w:sz w:val="24"/>
                <w:szCs w:val="24"/>
              </w:rPr>
              <w:fldChar w:fldCharType="begin"/>
            </w:r>
            <w:r w:rsidRPr="00ED6C68">
              <w:rPr>
                <w:rFonts w:ascii="Times New Roman" w:hAnsi="Times New Roman" w:cs="Times New Roman"/>
                <w:noProof/>
                <w:webHidden/>
                <w:sz w:val="24"/>
                <w:szCs w:val="24"/>
              </w:rPr>
              <w:instrText xml:space="preserve"> PAGEREF _Toc471117704 \h </w:instrText>
            </w:r>
            <w:r w:rsidRPr="00ED6C68">
              <w:rPr>
                <w:rFonts w:ascii="Times New Roman" w:hAnsi="Times New Roman" w:cs="Times New Roman"/>
                <w:noProof/>
                <w:webHidden/>
                <w:sz w:val="24"/>
                <w:szCs w:val="24"/>
              </w:rPr>
            </w:r>
            <w:r w:rsidRPr="00ED6C68">
              <w:rPr>
                <w:rFonts w:ascii="Times New Roman" w:hAnsi="Times New Roman" w:cs="Times New Roman"/>
                <w:noProof/>
                <w:webHidden/>
                <w:sz w:val="24"/>
                <w:szCs w:val="24"/>
              </w:rPr>
              <w:fldChar w:fldCharType="separate"/>
            </w:r>
            <w:r w:rsidR="00960CB7">
              <w:rPr>
                <w:rFonts w:ascii="Times New Roman" w:hAnsi="Times New Roman" w:cs="Times New Roman"/>
                <w:noProof/>
                <w:webHidden/>
                <w:sz w:val="24"/>
                <w:szCs w:val="24"/>
              </w:rPr>
              <w:t>11</w:t>
            </w:r>
            <w:r w:rsidRPr="00ED6C68">
              <w:rPr>
                <w:rFonts w:ascii="Times New Roman" w:hAnsi="Times New Roman" w:cs="Times New Roman"/>
                <w:noProof/>
                <w:webHidden/>
                <w:sz w:val="24"/>
                <w:szCs w:val="24"/>
              </w:rPr>
              <w:fldChar w:fldCharType="end"/>
            </w:r>
          </w:hyperlink>
        </w:p>
        <w:p w:rsidR="00ED6C68" w:rsidRPr="00ED6C68" w:rsidRDefault="00ED6C68">
          <w:pPr>
            <w:pStyle w:val="Sommario1"/>
            <w:tabs>
              <w:tab w:val="right" w:leader="dot" w:pos="9350"/>
            </w:tabs>
            <w:rPr>
              <w:rFonts w:ascii="Times New Roman" w:hAnsi="Times New Roman" w:cs="Times New Roman"/>
              <w:noProof/>
              <w:sz w:val="24"/>
              <w:szCs w:val="24"/>
            </w:rPr>
          </w:pPr>
          <w:hyperlink w:anchor="_Toc471117705" w:history="1">
            <w:r w:rsidRPr="00ED6C68">
              <w:rPr>
                <w:rStyle w:val="Collegamentoipertestuale"/>
                <w:rFonts w:ascii="Times New Roman" w:hAnsi="Times New Roman" w:cs="Times New Roman"/>
                <w:noProof/>
                <w:sz w:val="24"/>
                <w:szCs w:val="24"/>
                <w:lang w:val="en-US"/>
              </w:rPr>
              <w:t>Final remarks</w:t>
            </w:r>
            <w:r w:rsidRPr="00ED6C68">
              <w:rPr>
                <w:rFonts w:ascii="Times New Roman" w:hAnsi="Times New Roman" w:cs="Times New Roman"/>
                <w:noProof/>
                <w:webHidden/>
                <w:sz w:val="24"/>
                <w:szCs w:val="24"/>
              </w:rPr>
              <w:tab/>
            </w:r>
            <w:r w:rsidRPr="00ED6C68">
              <w:rPr>
                <w:rFonts w:ascii="Times New Roman" w:hAnsi="Times New Roman" w:cs="Times New Roman"/>
                <w:noProof/>
                <w:webHidden/>
                <w:sz w:val="24"/>
                <w:szCs w:val="24"/>
              </w:rPr>
              <w:fldChar w:fldCharType="begin"/>
            </w:r>
            <w:r w:rsidRPr="00ED6C68">
              <w:rPr>
                <w:rFonts w:ascii="Times New Roman" w:hAnsi="Times New Roman" w:cs="Times New Roman"/>
                <w:noProof/>
                <w:webHidden/>
                <w:sz w:val="24"/>
                <w:szCs w:val="24"/>
              </w:rPr>
              <w:instrText xml:space="preserve"> PAGEREF _Toc471117705 \h </w:instrText>
            </w:r>
            <w:r w:rsidRPr="00ED6C68">
              <w:rPr>
                <w:rFonts w:ascii="Times New Roman" w:hAnsi="Times New Roman" w:cs="Times New Roman"/>
                <w:noProof/>
                <w:webHidden/>
                <w:sz w:val="24"/>
                <w:szCs w:val="24"/>
              </w:rPr>
            </w:r>
            <w:r w:rsidRPr="00ED6C68">
              <w:rPr>
                <w:rFonts w:ascii="Times New Roman" w:hAnsi="Times New Roman" w:cs="Times New Roman"/>
                <w:noProof/>
                <w:webHidden/>
                <w:sz w:val="24"/>
                <w:szCs w:val="24"/>
              </w:rPr>
              <w:fldChar w:fldCharType="separate"/>
            </w:r>
            <w:r w:rsidR="00960CB7">
              <w:rPr>
                <w:rFonts w:ascii="Times New Roman" w:hAnsi="Times New Roman" w:cs="Times New Roman"/>
                <w:noProof/>
                <w:webHidden/>
                <w:sz w:val="24"/>
                <w:szCs w:val="24"/>
              </w:rPr>
              <w:t>13</w:t>
            </w:r>
            <w:r w:rsidRPr="00ED6C68">
              <w:rPr>
                <w:rFonts w:ascii="Times New Roman" w:hAnsi="Times New Roman" w:cs="Times New Roman"/>
                <w:noProof/>
                <w:webHidden/>
                <w:sz w:val="24"/>
                <w:szCs w:val="24"/>
              </w:rPr>
              <w:fldChar w:fldCharType="end"/>
            </w:r>
          </w:hyperlink>
        </w:p>
        <w:p w:rsidR="00ED6C68" w:rsidRDefault="00ED6C68">
          <w:pPr>
            <w:pStyle w:val="Sommario1"/>
            <w:tabs>
              <w:tab w:val="right" w:leader="dot" w:pos="9350"/>
            </w:tabs>
            <w:rPr>
              <w:noProof/>
            </w:rPr>
          </w:pPr>
          <w:hyperlink w:anchor="_Toc471117706" w:history="1">
            <w:r w:rsidRPr="00ED6C68">
              <w:rPr>
                <w:rStyle w:val="Collegamentoipertestuale"/>
                <w:rFonts w:ascii="Times New Roman" w:hAnsi="Times New Roman" w:cs="Times New Roman"/>
                <w:noProof/>
                <w:sz w:val="24"/>
                <w:szCs w:val="24"/>
              </w:rPr>
              <w:t>References</w:t>
            </w:r>
            <w:r w:rsidRPr="00ED6C68">
              <w:rPr>
                <w:rFonts w:ascii="Times New Roman" w:hAnsi="Times New Roman" w:cs="Times New Roman"/>
                <w:noProof/>
                <w:webHidden/>
                <w:sz w:val="24"/>
                <w:szCs w:val="24"/>
              </w:rPr>
              <w:tab/>
            </w:r>
            <w:r w:rsidRPr="00ED6C68">
              <w:rPr>
                <w:rFonts w:ascii="Times New Roman" w:hAnsi="Times New Roman" w:cs="Times New Roman"/>
                <w:noProof/>
                <w:webHidden/>
                <w:sz w:val="24"/>
                <w:szCs w:val="24"/>
              </w:rPr>
              <w:fldChar w:fldCharType="begin"/>
            </w:r>
            <w:r w:rsidRPr="00ED6C68">
              <w:rPr>
                <w:rFonts w:ascii="Times New Roman" w:hAnsi="Times New Roman" w:cs="Times New Roman"/>
                <w:noProof/>
                <w:webHidden/>
                <w:sz w:val="24"/>
                <w:szCs w:val="24"/>
              </w:rPr>
              <w:instrText xml:space="preserve"> PAGEREF _Toc471117706 \h </w:instrText>
            </w:r>
            <w:r w:rsidRPr="00ED6C68">
              <w:rPr>
                <w:rFonts w:ascii="Times New Roman" w:hAnsi="Times New Roman" w:cs="Times New Roman"/>
                <w:noProof/>
                <w:webHidden/>
                <w:sz w:val="24"/>
                <w:szCs w:val="24"/>
              </w:rPr>
            </w:r>
            <w:r w:rsidRPr="00ED6C68">
              <w:rPr>
                <w:rFonts w:ascii="Times New Roman" w:hAnsi="Times New Roman" w:cs="Times New Roman"/>
                <w:noProof/>
                <w:webHidden/>
                <w:sz w:val="24"/>
                <w:szCs w:val="24"/>
              </w:rPr>
              <w:fldChar w:fldCharType="separate"/>
            </w:r>
            <w:r w:rsidR="00960CB7">
              <w:rPr>
                <w:rFonts w:ascii="Times New Roman" w:hAnsi="Times New Roman" w:cs="Times New Roman"/>
                <w:noProof/>
                <w:webHidden/>
                <w:sz w:val="24"/>
                <w:szCs w:val="24"/>
              </w:rPr>
              <w:t>15</w:t>
            </w:r>
            <w:r w:rsidRPr="00ED6C68">
              <w:rPr>
                <w:rFonts w:ascii="Times New Roman" w:hAnsi="Times New Roman" w:cs="Times New Roman"/>
                <w:noProof/>
                <w:webHidden/>
                <w:sz w:val="24"/>
                <w:szCs w:val="24"/>
              </w:rPr>
              <w:fldChar w:fldCharType="end"/>
            </w:r>
          </w:hyperlink>
        </w:p>
        <w:p w:rsidR="007B4539" w:rsidRPr="00E971F1" w:rsidRDefault="007F3B23" w:rsidP="00814984">
          <w:pPr>
            <w:spacing w:after="0" w:line="240" w:lineRule="auto"/>
            <w:rPr>
              <w:rFonts w:ascii="Times New Roman" w:hAnsi="Times New Roman" w:cs="Times New Roman"/>
              <w:lang w:val="en-US"/>
            </w:rPr>
          </w:pPr>
          <w:r w:rsidRPr="00E971F1">
            <w:rPr>
              <w:rFonts w:ascii="Times New Roman" w:hAnsi="Times New Roman" w:cs="Times New Roman"/>
              <w:lang w:val="en-US"/>
            </w:rPr>
            <w:fldChar w:fldCharType="end"/>
          </w:r>
        </w:p>
      </w:sdtContent>
    </w:sdt>
    <w:p w:rsidR="007B4539" w:rsidRPr="00E971F1" w:rsidRDefault="007B4539" w:rsidP="00814984">
      <w:pPr>
        <w:pStyle w:val="Normale1"/>
        <w:spacing w:after="0" w:line="240" w:lineRule="auto"/>
        <w:rPr>
          <w:rFonts w:ascii="Times New Roman" w:hAnsi="Times New Roman" w:cs="Times New Roman"/>
          <w:lang w:val="en-US"/>
        </w:rPr>
      </w:pPr>
    </w:p>
    <w:p w:rsidR="007B4539" w:rsidRPr="00E971F1" w:rsidRDefault="007B4539" w:rsidP="00814984">
      <w:pPr>
        <w:pStyle w:val="Normale1"/>
        <w:spacing w:after="0" w:line="240" w:lineRule="auto"/>
        <w:rPr>
          <w:rFonts w:ascii="Times New Roman" w:hAnsi="Times New Roman" w:cs="Times New Roman"/>
          <w:lang w:val="en-US"/>
        </w:rPr>
      </w:pPr>
    </w:p>
    <w:p w:rsidR="007B4539" w:rsidRPr="00E971F1" w:rsidRDefault="007B4539" w:rsidP="00814984">
      <w:pPr>
        <w:pStyle w:val="Normale1"/>
        <w:spacing w:after="0" w:line="240" w:lineRule="auto"/>
        <w:rPr>
          <w:rFonts w:ascii="Times New Roman" w:hAnsi="Times New Roman" w:cs="Times New Roman"/>
          <w:lang w:val="en-US"/>
        </w:rPr>
      </w:pPr>
    </w:p>
    <w:p w:rsidR="007B4539" w:rsidRPr="00E971F1" w:rsidRDefault="007B4539" w:rsidP="00814984">
      <w:pPr>
        <w:pStyle w:val="Normale1"/>
        <w:spacing w:after="0" w:line="240" w:lineRule="auto"/>
        <w:rPr>
          <w:rFonts w:ascii="Times New Roman" w:hAnsi="Times New Roman" w:cs="Times New Roman"/>
          <w:lang w:val="en-US"/>
        </w:rPr>
      </w:pPr>
    </w:p>
    <w:p w:rsidR="00814984" w:rsidRPr="00E971F1" w:rsidRDefault="00814984" w:rsidP="00814984">
      <w:pPr>
        <w:spacing w:after="0" w:line="240" w:lineRule="auto"/>
        <w:rPr>
          <w:rStyle w:val="Enfasiintensa"/>
          <w:rFonts w:ascii="Times New Roman" w:hAnsi="Times New Roman" w:cs="Times New Roman"/>
          <w:b w:val="0"/>
          <w:bCs w:val="0"/>
          <w:i w:val="0"/>
          <w:iCs w:val="0"/>
          <w:color w:val="auto"/>
          <w:lang w:val="en-US"/>
        </w:rPr>
      </w:pPr>
      <w:r w:rsidRPr="00E971F1">
        <w:rPr>
          <w:rFonts w:ascii="Times New Roman" w:hAnsi="Times New Roman" w:cs="Times New Roman"/>
          <w:lang w:val="en-US"/>
        </w:rPr>
        <w:br w:type="page"/>
      </w:r>
    </w:p>
    <w:p w:rsidR="00814984" w:rsidRPr="00E971F1" w:rsidRDefault="00814984" w:rsidP="007D6434">
      <w:pPr>
        <w:pStyle w:val="Nessunaspaziatura"/>
        <w:rPr>
          <w:lang w:val="en-US"/>
        </w:rPr>
      </w:pPr>
    </w:p>
    <w:p w:rsidR="007F3B23" w:rsidRPr="00E971F1" w:rsidRDefault="00814984" w:rsidP="00E971F1">
      <w:pPr>
        <w:pStyle w:val="Titolo1"/>
        <w:rPr>
          <w:rFonts w:ascii="Times New Roman" w:hAnsi="Times New Roman" w:cs="Times New Roman"/>
          <w:color w:val="auto"/>
          <w:lang w:val="en-US"/>
        </w:rPr>
      </w:pPr>
      <w:bookmarkStart w:id="0" w:name="_Toc471117699"/>
      <w:r w:rsidRPr="00E971F1">
        <w:rPr>
          <w:rStyle w:val="Enfasiintensa"/>
          <w:rFonts w:ascii="Times New Roman" w:hAnsi="Times New Roman" w:cs="Times New Roman"/>
          <w:b/>
          <w:bCs/>
          <w:i w:val="0"/>
          <w:iCs w:val="0"/>
          <w:color w:val="auto"/>
          <w:lang w:val="en-US"/>
        </w:rPr>
        <w:t xml:space="preserve">The education </w:t>
      </w:r>
      <w:r w:rsidR="00164C60" w:rsidRPr="00E971F1">
        <w:rPr>
          <w:rStyle w:val="Enfasiintensa"/>
          <w:rFonts w:ascii="Times New Roman" w:hAnsi="Times New Roman" w:cs="Times New Roman"/>
          <w:b/>
          <w:bCs/>
          <w:i w:val="0"/>
          <w:iCs w:val="0"/>
          <w:color w:val="auto"/>
          <w:lang w:val="en-US"/>
        </w:rPr>
        <w:t xml:space="preserve">system structure in </w:t>
      </w:r>
      <w:r w:rsidRPr="00E971F1">
        <w:rPr>
          <w:rStyle w:val="Enfasiintensa"/>
          <w:rFonts w:ascii="Times New Roman" w:hAnsi="Times New Roman" w:cs="Times New Roman"/>
          <w:b/>
          <w:bCs/>
          <w:i w:val="0"/>
          <w:iCs w:val="0"/>
          <w:color w:val="auto"/>
          <w:lang w:val="en-US"/>
        </w:rPr>
        <w:t>Italy</w:t>
      </w:r>
      <w:r w:rsidR="00164C60" w:rsidRPr="00E971F1">
        <w:rPr>
          <w:rStyle w:val="Enfasiintensa"/>
          <w:rFonts w:ascii="Times New Roman" w:hAnsi="Times New Roman" w:cs="Times New Roman"/>
          <w:b/>
          <w:bCs/>
          <w:i w:val="0"/>
          <w:iCs w:val="0"/>
          <w:color w:val="auto"/>
          <w:lang w:val="en-US"/>
        </w:rPr>
        <w:t>: short description</w:t>
      </w:r>
      <w:bookmarkEnd w:id="0"/>
    </w:p>
    <w:p w:rsidR="00814984" w:rsidRPr="00E971F1" w:rsidRDefault="00814984" w:rsidP="00814984">
      <w:pPr>
        <w:pStyle w:val="Normale1"/>
        <w:spacing w:after="0" w:line="240" w:lineRule="auto"/>
        <w:jc w:val="both"/>
        <w:rPr>
          <w:rFonts w:ascii="Times New Roman" w:hAnsi="Times New Roman" w:cs="Times New Roman"/>
          <w:sz w:val="28"/>
          <w:szCs w:val="28"/>
          <w:lang w:val="en-US"/>
        </w:rPr>
      </w:pPr>
    </w:p>
    <w:p w:rsidR="00814984" w:rsidRPr="00E971F1" w:rsidRDefault="00814984" w:rsidP="00814984">
      <w:pPr>
        <w:pStyle w:val="Normale1"/>
        <w:spacing w:after="0" w:line="240" w:lineRule="auto"/>
        <w:jc w:val="both"/>
        <w:rPr>
          <w:rFonts w:ascii="Times New Roman" w:hAnsi="Times New Roman" w:cs="Times New Roman"/>
          <w:sz w:val="24"/>
          <w:szCs w:val="24"/>
          <w:lang w:val="en-US"/>
        </w:rPr>
      </w:pPr>
      <w:r w:rsidRPr="00E971F1">
        <w:rPr>
          <w:rFonts w:ascii="Times New Roman" w:hAnsi="Times New Roman" w:cs="Times New Roman"/>
          <w:sz w:val="24"/>
          <w:szCs w:val="24"/>
          <w:lang w:val="en-US"/>
        </w:rPr>
        <w:t xml:space="preserve">In Italy education is compulsory from 6 to 16 years of age, and it is divided into five stages: </w:t>
      </w:r>
      <w:r w:rsidRPr="00E971F1">
        <w:rPr>
          <w:rFonts w:ascii="Times New Roman" w:hAnsi="Times New Roman" w:cs="Times New Roman"/>
          <w:i/>
          <w:sz w:val="24"/>
          <w:szCs w:val="24"/>
          <w:lang w:val="en-US"/>
        </w:rPr>
        <w:t>pre-primary school</w:t>
      </w:r>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scuola</w:t>
      </w:r>
      <w:proofErr w:type="spellEnd"/>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dell'infanzia</w:t>
      </w:r>
      <w:proofErr w:type="spellEnd"/>
      <w:r w:rsidRPr="00E971F1">
        <w:rPr>
          <w:rFonts w:ascii="Times New Roman" w:hAnsi="Times New Roman" w:cs="Times New Roman"/>
          <w:sz w:val="24"/>
          <w:szCs w:val="24"/>
          <w:lang w:val="en-US"/>
        </w:rPr>
        <w:t xml:space="preserve">), </w:t>
      </w:r>
      <w:r w:rsidRPr="00E971F1">
        <w:rPr>
          <w:rFonts w:ascii="Times New Roman" w:hAnsi="Times New Roman" w:cs="Times New Roman"/>
          <w:i/>
          <w:sz w:val="24"/>
          <w:szCs w:val="24"/>
          <w:lang w:val="en-US"/>
        </w:rPr>
        <w:t>primary school</w:t>
      </w:r>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scuola</w:t>
      </w:r>
      <w:proofErr w:type="spellEnd"/>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primaria</w:t>
      </w:r>
      <w:proofErr w:type="spellEnd"/>
      <w:r w:rsidRPr="00E971F1">
        <w:rPr>
          <w:rFonts w:ascii="Times New Roman" w:hAnsi="Times New Roman" w:cs="Times New Roman"/>
          <w:sz w:val="24"/>
          <w:szCs w:val="24"/>
          <w:lang w:val="en-US"/>
        </w:rPr>
        <w:t xml:space="preserve"> or </w:t>
      </w:r>
      <w:proofErr w:type="spellStart"/>
      <w:r w:rsidRPr="00E971F1">
        <w:rPr>
          <w:rFonts w:ascii="Times New Roman" w:hAnsi="Times New Roman" w:cs="Times New Roman"/>
          <w:sz w:val="24"/>
          <w:szCs w:val="24"/>
          <w:lang w:val="en-US"/>
        </w:rPr>
        <w:t>scuola</w:t>
      </w:r>
      <w:proofErr w:type="spellEnd"/>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elementare</w:t>
      </w:r>
      <w:proofErr w:type="spellEnd"/>
      <w:r w:rsidRPr="00E971F1">
        <w:rPr>
          <w:rFonts w:ascii="Times New Roman" w:hAnsi="Times New Roman" w:cs="Times New Roman"/>
          <w:sz w:val="24"/>
          <w:szCs w:val="24"/>
          <w:lang w:val="en-US"/>
        </w:rPr>
        <w:t xml:space="preserve">), </w:t>
      </w:r>
      <w:r w:rsidRPr="00E971F1">
        <w:rPr>
          <w:rFonts w:ascii="Times New Roman" w:hAnsi="Times New Roman" w:cs="Times New Roman"/>
          <w:i/>
          <w:sz w:val="24"/>
          <w:szCs w:val="24"/>
          <w:lang w:val="en-US"/>
        </w:rPr>
        <w:t>lower secondary school</w:t>
      </w:r>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scuola</w:t>
      </w:r>
      <w:proofErr w:type="spellEnd"/>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secondaria</w:t>
      </w:r>
      <w:proofErr w:type="spellEnd"/>
      <w:r w:rsidRPr="00E971F1">
        <w:rPr>
          <w:rFonts w:ascii="Times New Roman" w:hAnsi="Times New Roman" w:cs="Times New Roman"/>
          <w:sz w:val="24"/>
          <w:szCs w:val="24"/>
          <w:lang w:val="en-US"/>
        </w:rPr>
        <w:t xml:space="preserve"> di primo </w:t>
      </w:r>
      <w:proofErr w:type="spellStart"/>
      <w:r w:rsidRPr="00E971F1">
        <w:rPr>
          <w:rFonts w:ascii="Times New Roman" w:hAnsi="Times New Roman" w:cs="Times New Roman"/>
          <w:sz w:val="24"/>
          <w:szCs w:val="24"/>
          <w:lang w:val="en-US"/>
        </w:rPr>
        <w:t>grado</w:t>
      </w:r>
      <w:proofErr w:type="spellEnd"/>
      <w:r w:rsidRPr="00E971F1">
        <w:rPr>
          <w:rFonts w:ascii="Times New Roman" w:hAnsi="Times New Roman" w:cs="Times New Roman"/>
          <w:sz w:val="24"/>
          <w:szCs w:val="24"/>
          <w:lang w:val="en-US"/>
        </w:rPr>
        <w:t xml:space="preserve"> or </w:t>
      </w:r>
      <w:proofErr w:type="spellStart"/>
      <w:r w:rsidRPr="00E971F1">
        <w:rPr>
          <w:rFonts w:ascii="Times New Roman" w:hAnsi="Times New Roman" w:cs="Times New Roman"/>
          <w:sz w:val="24"/>
          <w:szCs w:val="24"/>
          <w:lang w:val="en-US"/>
        </w:rPr>
        <w:t>scuola</w:t>
      </w:r>
      <w:proofErr w:type="spellEnd"/>
      <w:r w:rsidRPr="00E971F1">
        <w:rPr>
          <w:rFonts w:ascii="Times New Roman" w:hAnsi="Times New Roman" w:cs="Times New Roman"/>
          <w:sz w:val="24"/>
          <w:szCs w:val="24"/>
          <w:lang w:val="en-US"/>
        </w:rPr>
        <w:t xml:space="preserve"> media </w:t>
      </w:r>
      <w:proofErr w:type="spellStart"/>
      <w:r w:rsidRPr="00E971F1">
        <w:rPr>
          <w:rFonts w:ascii="Times New Roman" w:hAnsi="Times New Roman" w:cs="Times New Roman"/>
          <w:sz w:val="24"/>
          <w:szCs w:val="24"/>
          <w:lang w:val="en-US"/>
        </w:rPr>
        <w:t>inferiore</w:t>
      </w:r>
      <w:proofErr w:type="spellEnd"/>
      <w:r w:rsidRPr="00E971F1">
        <w:rPr>
          <w:rFonts w:ascii="Times New Roman" w:hAnsi="Times New Roman" w:cs="Times New Roman"/>
          <w:sz w:val="24"/>
          <w:szCs w:val="24"/>
          <w:lang w:val="en-US"/>
        </w:rPr>
        <w:t xml:space="preserve">), </w:t>
      </w:r>
      <w:r w:rsidRPr="00E971F1">
        <w:rPr>
          <w:rFonts w:ascii="Times New Roman" w:hAnsi="Times New Roman" w:cs="Times New Roman"/>
          <w:i/>
          <w:sz w:val="24"/>
          <w:szCs w:val="24"/>
          <w:lang w:val="en-US"/>
        </w:rPr>
        <w:t>upper secondary school</w:t>
      </w:r>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scuola</w:t>
      </w:r>
      <w:proofErr w:type="spellEnd"/>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secondaria</w:t>
      </w:r>
      <w:proofErr w:type="spellEnd"/>
      <w:r w:rsidRPr="00E971F1">
        <w:rPr>
          <w:rFonts w:ascii="Times New Roman" w:hAnsi="Times New Roman" w:cs="Times New Roman"/>
          <w:sz w:val="24"/>
          <w:szCs w:val="24"/>
          <w:lang w:val="en-US"/>
        </w:rPr>
        <w:t xml:space="preserve"> di secondo </w:t>
      </w:r>
      <w:proofErr w:type="spellStart"/>
      <w:r w:rsidRPr="00E971F1">
        <w:rPr>
          <w:rFonts w:ascii="Times New Roman" w:hAnsi="Times New Roman" w:cs="Times New Roman"/>
          <w:sz w:val="24"/>
          <w:szCs w:val="24"/>
          <w:lang w:val="en-US"/>
        </w:rPr>
        <w:t>grado</w:t>
      </w:r>
      <w:proofErr w:type="spellEnd"/>
      <w:r w:rsidRPr="00E971F1">
        <w:rPr>
          <w:rFonts w:ascii="Times New Roman" w:hAnsi="Times New Roman" w:cs="Times New Roman"/>
          <w:sz w:val="24"/>
          <w:szCs w:val="24"/>
          <w:lang w:val="en-US"/>
        </w:rPr>
        <w:t xml:space="preserve"> or </w:t>
      </w:r>
      <w:proofErr w:type="spellStart"/>
      <w:r w:rsidRPr="00E971F1">
        <w:rPr>
          <w:rFonts w:ascii="Times New Roman" w:hAnsi="Times New Roman" w:cs="Times New Roman"/>
          <w:sz w:val="24"/>
          <w:szCs w:val="24"/>
          <w:lang w:val="en-US"/>
        </w:rPr>
        <w:t>scuola</w:t>
      </w:r>
      <w:proofErr w:type="spellEnd"/>
      <w:r w:rsidRPr="00E971F1">
        <w:rPr>
          <w:rFonts w:ascii="Times New Roman" w:hAnsi="Times New Roman" w:cs="Times New Roman"/>
          <w:sz w:val="24"/>
          <w:szCs w:val="24"/>
          <w:lang w:val="en-US"/>
        </w:rPr>
        <w:t xml:space="preserve"> media </w:t>
      </w:r>
      <w:proofErr w:type="spellStart"/>
      <w:r w:rsidRPr="00E971F1">
        <w:rPr>
          <w:rFonts w:ascii="Times New Roman" w:hAnsi="Times New Roman" w:cs="Times New Roman"/>
          <w:sz w:val="24"/>
          <w:szCs w:val="24"/>
          <w:lang w:val="en-US"/>
        </w:rPr>
        <w:t>superiore</w:t>
      </w:r>
      <w:proofErr w:type="spellEnd"/>
      <w:r w:rsidRPr="00E971F1">
        <w:rPr>
          <w:rFonts w:ascii="Times New Roman" w:hAnsi="Times New Roman" w:cs="Times New Roman"/>
          <w:sz w:val="24"/>
          <w:szCs w:val="24"/>
          <w:lang w:val="en-US"/>
        </w:rPr>
        <w:t xml:space="preserve">) and </w:t>
      </w:r>
      <w:r w:rsidRPr="00E971F1">
        <w:rPr>
          <w:rFonts w:ascii="Times New Roman" w:hAnsi="Times New Roman" w:cs="Times New Roman"/>
          <w:i/>
          <w:sz w:val="24"/>
          <w:szCs w:val="24"/>
          <w:lang w:val="en-US"/>
        </w:rPr>
        <w:t>university</w:t>
      </w:r>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università</w:t>
      </w:r>
      <w:proofErr w:type="spellEnd"/>
      <w:r w:rsidRPr="00E971F1">
        <w:rPr>
          <w:rFonts w:ascii="Times New Roman" w:hAnsi="Times New Roman" w:cs="Times New Roman"/>
          <w:sz w:val="24"/>
          <w:szCs w:val="24"/>
          <w:lang w:val="en-US"/>
        </w:rPr>
        <w:t>). Italy has both public and private education systems.</w:t>
      </w:r>
    </w:p>
    <w:p w:rsidR="00814984" w:rsidRPr="00E971F1" w:rsidRDefault="00814984" w:rsidP="00814984">
      <w:pPr>
        <w:pStyle w:val="Normale1"/>
        <w:spacing w:after="0" w:line="240" w:lineRule="auto"/>
        <w:jc w:val="both"/>
        <w:rPr>
          <w:rFonts w:ascii="Times New Roman" w:hAnsi="Times New Roman" w:cs="Times New Roman"/>
          <w:sz w:val="24"/>
          <w:szCs w:val="24"/>
          <w:lang w:val="en-US"/>
        </w:rPr>
      </w:pPr>
      <w:r w:rsidRPr="00E971F1">
        <w:rPr>
          <w:rFonts w:ascii="Times New Roman" w:hAnsi="Times New Roman" w:cs="Times New Roman"/>
          <w:i/>
          <w:sz w:val="24"/>
          <w:szCs w:val="24"/>
          <w:lang w:val="en-US"/>
        </w:rPr>
        <w:t>Pre-primary school</w:t>
      </w:r>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scuola</w:t>
      </w:r>
      <w:proofErr w:type="spellEnd"/>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dell’infanzia</w:t>
      </w:r>
      <w:proofErr w:type="spellEnd"/>
      <w:r w:rsidRPr="00E971F1">
        <w:rPr>
          <w:rFonts w:ascii="Times New Roman" w:hAnsi="Times New Roman" w:cs="Times New Roman"/>
          <w:sz w:val="24"/>
          <w:szCs w:val="24"/>
          <w:lang w:val="en-US"/>
        </w:rPr>
        <w:t xml:space="preserve">) is for children between 3 and 6 years of age and it is not compulsory. </w:t>
      </w:r>
    </w:p>
    <w:p w:rsidR="00814984" w:rsidRPr="00E971F1" w:rsidRDefault="00814984" w:rsidP="00814984">
      <w:pPr>
        <w:pStyle w:val="Normale1"/>
        <w:spacing w:after="0" w:line="240" w:lineRule="auto"/>
        <w:jc w:val="both"/>
        <w:rPr>
          <w:rFonts w:ascii="Times New Roman" w:hAnsi="Times New Roman" w:cs="Times New Roman"/>
          <w:sz w:val="24"/>
          <w:szCs w:val="24"/>
          <w:lang w:val="en-US"/>
        </w:rPr>
      </w:pPr>
      <w:r w:rsidRPr="00E971F1">
        <w:rPr>
          <w:rFonts w:ascii="Times New Roman" w:hAnsi="Times New Roman" w:cs="Times New Roman"/>
          <w:sz w:val="24"/>
          <w:szCs w:val="24"/>
          <w:lang w:val="en-US"/>
        </w:rPr>
        <w:t xml:space="preserve">The first cycle of education lasts 8 years, it is compulsory and made up of: </w:t>
      </w:r>
    </w:p>
    <w:p w:rsidR="00814984" w:rsidRPr="00E971F1" w:rsidRDefault="00814984" w:rsidP="00814984">
      <w:pPr>
        <w:pStyle w:val="Normale1"/>
        <w:spacing w:after="0" w:line="240" w:lineRule="auto"/>
        <w:jc w:val="both"/>
        <w:rPr>
          <w:rFonts w:ascii="Times New Roman" w:hAnsi="Times New Roman" w:cs="Times New Roman"/>
          <w:sz w:val="24"/>
          <w:szCs w:val="24"/>
          <w:lang w:val="en-US"/>
        </w:rPr>
      </w:pPr>
      <w:r w:rsidRPr="00E971F1">
        <w:rPr>
          <w:rFonts w:ascii="Times New Roman" w:hAnsi="Times New Roman" w:cs="Times New Roman"/>
          <w:sz w:val="24"/>
          <w:szCs w:val="24"/>
          <w:lang w:val="en-US"/>
        </w:rPr>
        <w:t xml:space="preserve">- </w:t>
      </w:r>
      <w:r w:rsidRPr="00E971F1">
        <w:rPr>
          <w:rFonts w:ascii="Times New Roman" w:hAnsi="Times New Roman" w:cs="Times New Roman"/>
          <w:i/>
          <w:sz w:val="24"/>
          <w:szCs w:val="24"/>
          <w:lang w:val="en-US"/>
        </w:rPr>
        <w:t>primary education</w:t>
      </w:r>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scuola</w:t>
      </w:r>
      <w:proofErr w:type="spellEnd"/>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primaria</w:t>
      </w:r>
      <w:proofErr w:type="spellEnd"/>
      <w:r w:rsidRPr="00E971F1">
        <w:rPr>
          <w:rFonts w:ascii="Times New Roman" w:hAnsi="Times New Roman" w:cs="Times New Roman"/>
          <w:sz w:val="24"/>
          <w:szCs w:val="24"/>
          <w:lang w:val="en-US"/>
        </w:rPr>
        <w:t xml:space="preserve">), lasting 5 years, for children between 6 and 11 years of age; </w:t>
      </w:r>
    </w:p>
    <w:p w:rsidR="00814984" w:rsidRPr="00E971F1" w:rsidRDefault="00814984" w:rsidP="00814984">
      <w:pPr>
        <w:pStyle w:val="Normale1"/>
        <w:spacing w:after="0" w:line="240" w:lineRule="auto"/>
        <w:jc w:val="both"/>
        <w:rPr>
          <w:rFonts w:ascii="Times New Roman" w:hAnsi="Times New Roman" w:cs="Times New Roman"/>
          <w:sz w:val="24"/>
          <w:szCs w:val="24"/>
          <w:lang w:val="en-US"/>
        </w:rPr>
      </w:pPr>
      <w:r w:rsidRPr="00E971F1">
        <w:rPr>
          <w:rFonts w:ascii="Times New Roman" w:hAnsi="Times New Roman" w:cs="Times New Roman"/>
          <w:sz w:val="24"/>
          <w:szCs w:val="24"/>
          <w:lang w:val="en-US"/>
        </w:rPr>
        <w:t>-</w:t>
      </w:r>
      <w:r w:rsidRPr="00E971F1">
        <w:rPr>
          <w:rFonts w:ascii="Times New Roman" w:hAnsi="Times New Roman" w:cs="Times New Roman"/>
          <w:i/>
          <w:sz w:val="24"/>
          <w:szCs w:val="24"/>
          <w:lang w:val="en-US"/>
        </w:rPr>
        <w:t>lower secondary school</w:t>
      </w:r>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scuola</w:t>
      </w:r>
      <w:proofErr w:type="spellEnd"/>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secondaria</w:t>
      </w:r>
      <w:proofErr w:type="spellEnd"/>
      <w:r w:rsidRPr="00E971F1">
        <w:rPr>
          <w:rFonts w:ascii="Times New Roman" w:hAnsi="Times New Roman" w:cs="Times New Roman"/>
          <w:sz w:val="24"/>
          <w:szCs w:val="24"/>
          <w:lang w:val="en-US"/>
        </w:rPr>
        <w:t xml:space="preserve"> di I </w:t>
      </w:r>
      <w:proofErr w:type="spellStart"/>
      <w:r w:rsidRPr="00E971F1">
        <w:rPr>
          <w:rFonts w:ascii="Times New Roman" w:hAnsi="Times New Roman" w:cs="Times New Roman"/>
          <w:sz w:val="24"/>
          <w:szCs w:val="24"/>
          <w:lang w:val="en-US"/>
        </w:rPr>
        <w:t>grado</w:t>
      </w:r>
      <w:proofErr w:type="spellEnd"/>
      <w:r w:rsidRPr="00E971F1">
        <w:rPr>
          <w:rFonts w:ascii="Times New Roman" w:hAnsi="Times New Roman" w:cs="Times New Roman"/>
          <w:sz w:val="24"/>
          <w:szCs w:val="24"/>
          <w:lang w:val="en-US"/>
        </w:rPr>
        <w:t xml:space="preserve">), lasting 3 years, for children between 11 and 14 years of age. </w:t>
      </w:r>
    </w:p>
    <w:p w:rsidR="00814984" w:rsidRPr="00E971F1" w:rsidRDefault="00814984" w:rsidP="00814984">
      <w:pPr>
        <w:pStyle w:val="Normale1"/>
        <w:spacing w:after="0" w:line="240" w:lineRule="auto"/>
        <w:jc w:val="both"/>
        <w:rPr>
          <w:rFonts w:ascii="Times New Roman" w:hAnsi="Times New Roman" w:cs="Times New Roman"/>
          <w:sz w:val="24"/>
          <w:szCs w:val="24"/>
          <w:lang w:val="en-US"/>
        </w:rPr>
      </w:pPr>
      <w:r w:rsidRPr="00E971F1">
        <w:rPr>
          <w:rFonts w:ascii="Times New Roman" w:hAnsi="Times New Roman" w:cs="Times New Roman"/>
          <w:sz w:val="24"/>
          <w:szCs w:val="24"/>
          <w:lang w:val="en-US"/>
        </w:rPr>
        <w:t xml:space="preserve">After completion of the first cycle of education, the final two years of compulsory education (from 14 to 16 years of age) can be undertaken at a State </w:t>
      </w:r>
      <w:r w:rsidRPr="00E971F1">
        <w:rPr>
          <w:rFonts w:ascii="Times New Roman" w:hAnsi="Times New Roman" w:cs="Times New Roman"/>
          <w:i/>
          <w:sz w:val="24"/>
          <w:szCs w:val="24"/>
          <w:lang w:val="en-US"/>
        </w:rPr>
        <w:t>upper secondary school</w:t>
      </w:r>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liceo</w:t>
      </w:r>
      <w:proofErr w:type="spellEnd"/>
      <w:r w:rsidRPr="00E971F1">
        <w:rPr>
          <w:rFonts w:ascii="Times New Roman" w:hAnsi="Times New Roman" w:cs="Times New Roman"/>
          <w:sz w:val="24"/>
          <w:szCs w:val="24"/>
          <w:lang w:val="en-US"/>
        </w:rPr>
        <w:t xml:space="preserve">, technical institute or vocational institute), or on </w:t>
      </w:r>
      <w:r w:rsidRPr="00E971F1">
        <w:rPr>
          <w:rFonts w:ascii="Times New Roman" w:hAnsi="Times New Roman" w:cs="Times New Roman"/>
          <w:i/>
          <w:sz w:val="24"/>
          <w:szCs w:val="24"/>
          <w:lang w:val="en-US"/>
        </w:rPr>
        <w:t>vocational education and training course</w:t>
      </w:r>
      <w:r w:rsidRPr="00E971F1">
        <w:rPr>
          <w:rFonts w:ascii="Times New Roman" w:hAnsi="Times New Roman" w:cs="Times New Roman"/>
          <w:sz w:val="24"/>
          <w:szCs w:val="24"/>
          <w:lang w:val="en-US"/>
        </w:rPr>
        <w:t xml:space="preserve"> which is within the jurisdiction of the Regions. State upper secondary school lasts 5 years for students from 14 to 19 years of age, whereas vocational training course lasts three or four years. </w:t>
      </w:r>
    </w:p>
    <w:p w:rsidR="00C11B7A" w:rsidRPr="00E971F1" w:rsidRDefault="00814984" w:rsidP="00814984">
      <w:pPr>
        <w:pStyle w:val="Normale1"/>
        <w:spacing w:after="0" w:line="240" w:lineRule="auto"/>
        <w:jc w:val="both"/>
        <w:rPr>
          <w:rFonts w:ascii="Times New Roman" w:hAnsi="Times New Roman" w:cs="Times New Roman"/>
          <w:sz w:val="24"/>
          <w:szCs w:val="24"/>
          <w:lang w:val="en-US"/>
        </w:rPr>
      </w:pPr>
      <w:r w:rsidRPr="00E971F1">
        <w:rPr>
          <w:rFonts w:ascii="Times New Roman" w:hAnsi="Times New Roman" w:cs="Times New Roman"/>
          <w:sz w:val="24"/>
          <w:szCs w:val="24"/>
          <w:lang w:val="en-US"/>
        </w:rPr>
        <w:t xml:space="preserve">Higher education is offered by </w:t>
      </w:r>
      <w:r w:rsidRPr="00E971F1">
        <w:rPr>
          <w:rFonts w:ascii="Times New Roman" w:hAnsi="Times New Roman" w:cs="Times New Roman"/>
          <w:i/>
          <w:sz w:val="24"/>
          <w:szCs w:val="24"/>
          <w:lang w:val="en-US"/>
        </w:rPr>
        <w:t>universities</w:t>
      </w:r>
      <w:r w:rsidRPr="00E971F1">
        <w:rPr>
          <w:rFonts w:ascii="Times New Roman" w:hAnsi="Times New Roman" w:cs="Times New Roman"/>
          <w:sz w:val="24"/>
          <w:szCs w:val="24"/>
          <w:lang w:val="en-US"/>
        </w:rPr>
        <w:t xml:space="preserve">, polytechnics included, </w:t>
      </w:r>
      <w:r w:rsidR="00C11B7A" w:rsidRPr="00E971F1">
        <w:rPr>
          <w:rFonts w:ascii="Times New Roman" w:hAnsi="Times New Roman" w:cs="Times New Roman"/>
          <w:sz w:val="24"/>
          <w:szCs w:val="24"/>
          <w:lang w:val="en-US"/>
        </w:rPr>
        <w:t xml:space="preserve">and </w:t>
      </w:r>
      <w:r w:rsidRPr="00E971F1">
        <w:rPr>
          <w:rFonts w:ascii="Times New Roman" w:hAnsi="Times New Roman" w:cs="Times New Roman"/>
          <w:sz w:val="24"/>
          <w:szCs w:val="24"/>
          <w:lang w:val="en-US"/>
        </w:rPr>
        <w:t xml:space="preserve">institutes of the Higher Education in Art and Music system (Alta </w:t>
      </w:r>
      <w:proofErr w:type="spellStart"/>
      <w:r w:rsidRPr="00E971F1">
        <w:rPr>
          <w:rFonts w:ascii="Times New Roman" w:hAnsi="Times New Roman" w:cs="Times New Roman"/>
          <w:sz w:val="24"/>
          <w:szCs w:val="24"/>
          <w:lang w:val="en-US"/>
        </w:rPr>
        <w:t>Formazi</w:t>
      </w:r>
      <w:r w:rsidR="00C11B7A" w:rsidRPr="00E971F1">
        <w:rPr>
          <w:rFonts w:ascii="Times New Roman" w:hAnsi="Times New Roman" w:cs="Times New Roman"/>
          <w:sz w:val="24"/>
          <w:szCs w:val="24"/>
          <w:lang w:val="en-US"/>
        </w:rPr>
        <w:t>one</w:t>
      </w:r>
      <w:proofErr w:type="spellEnd"/>
      <w:r w:rsidR="00C11B7A" w:rsidRPr="00E971F1">
        <w:rPr>
          <w:rFonts w:ascii="Times New Roman" w:hAnsi="Times New Roman" w:cs="Times New Roman"/>
          <w:sz w:val="24"/>
          <w:szCs w:val="24"/>
          <w:lang w:val="en-US"/>
        </w:rPr>
        <w:t xml:space="preserve"> </w:t>
      </w:r>
      <w:proofErr w:type="spellStart"/>
      <w:r w:rsidR="00C11B7A" w:rsidRPr="00E971F1">
        <w:rPr>
          <w:rFonts w:ascii="Times New Roman" w:hAnsi="Times New Roman" w:cs="Times New Roman"/>
          <w:sz w:val="24"/>
          <w:szCs w:val="24"/>
          <w:lang w:val="en-US"/>
        </w:rPr>
        <w:t>Artistica</w:t>
      </w:r>
      <w:proofErr w:type="spellEnd"/>
      <w:r w:rsidR="00C11B7A" w:rsidRPr="00E971F1">
        <w:rPr>
          <w:rFonts w:ascii="Times New Roman" w:hAnsi="Times New Roman" w:cs="Times New Roman"/>
          <w:sz w:val="24"/>
          <w:szCs w:val="24"/>
          <w:lang w:val="en-US"/>
        </w:rPr>
        <w:t xml:space="preserve"> e Musicale, AFAM).</w:t>
      </w:r>
    </w:p>
    <w:p w:rsidR="008A5BAD" w:rsidRPr="00E971F1" w:rsidRDefault="00814984" w:rsidP="00C11B7A">
      <w:pPr>
        <w:pStyle w:val="Normale1"/>
        <w:spacing w:after="0" w:line="240" w:lineRule="auto"/>
        <w:jc w:val="both"/>
        <w:rPr>
          <w:rStyle w:val="Enfasiintensa"/>
          <w:rFonts w:ascii="Times New Roman" w:hAnsi="Times New Roman" w:cs="Times New Roman"/>
          <w:b w:val="0"/>
          <w:bCs w:val="0"/>
          <w:i w:val="0"/>
          <w:iCs w:val="0"/>
          <w:color w:val="auto"/>
          <w:sz w:val="24"/>
          <w:szCs w:val="24"/>
          <w:highlight w:val="white"/>
          <w:lang w:val="en-US"/>
        </w:rPr>
      </w:pPr>
      <w:r w:rsidRPr="00E971F1">
        <w:rPr>
          <w:rFonts w:ascii="Times New Roman" w:hAnsi="Times New Roman" w:cs="Times New Roman"/>
          <w:sz w:val="24"/>
          <w:szCs w:val="24"/>
          <w:lang w:val="en-US"/>
        </w:rPr>
        <w:t>Compulsory education refers to both enrolment and attendance. It can be undertaken at either a State school or a non-State, publicly subsidized school (</w:t>
      </w:r>
      <w:proofErr w:type="spellStart"/>
      <w:r w:rsidRPr="00E971F1">
        <w:rPr>
          <w:rFonts w:ascii="Times New Roman" w:hAnsi="Times New Roman" w:cs="Times New Roman"/>
          <w:sz w:val="24"/>
          <w:szCs w:val="24"/>
          <w:lang w:val="en-US"/>
        </w:rPr>
        <w:t>scuola</w:t>
      </w:r>
      <w:proofErr w:type="spellEnd"/>
      <w:r w:rsidRPr="00E971F1">
        <w:rPr>
          <w:rFonts w:ascii="Times New Roman" w:hAnsi="Times New Roman" w:cs="Times New Roman"/>
          <w:sz w:val="24"/>
          <w:szCs w:val="24"/>
          <w:lang w:val="en-US"/>
        </w:rPr>
        <w:t xml:space="preserve"> </w:t>
      </w:r>
      <w:proofErr w:type="spellStart"/>
      <w:r w:rsidRPr="00E971F1">
        <w:rPr>
          <w:rFonts w:ascii="Times New Roman" w:hAnsi="Times New Roman" w:cs="Times New Roman"/>
          <w:sz w:val="24"/>
          <w:szCs w:val="24"/>
          <w:lang w:val="en-US"/>
        </w:rPr>
        <w:t>paritaria</w:t>
      </w:r>
      <w:proofErr w:type="spellEnd"/>
      <w:r w:rsidRPr="00E971F1">
        <w:rPr>
          <w:rFonts w:ascii="Times New Roman" w:hAnsi="Times New Roman" w:cs="Times New Roman"/>
          <w:sz w:val="24"/>
          <w:szCs w:val="24"/>
          <w:lang w:val="en-US"/>
        </w:rPr>
        <w:t>) or even, subject to certain conditions, through home education or private schools. Regional three-year vocational training courses are offered by the relevant training agencies.</w:t>
      </w:r>
    </w:p>
    <w:p w:rsidR="00814984" w:rsidRPr="00E971F1" w:rsidRDefault="00814984" w:rsidP="00814984">
      <w:pPr>
        <w:spacing w:after="0" w:line="240" w:lineRule="auto"/>
        <w:rPr>
          <w:rFonts w:ascii="Times New Roman" w:hAnsi="Times New Roman" w:cs="Times New Roman"/>
          <w:lang w:val="en-US"/>
        </w:rPr>
      </w:pPr>
    </w:p>
    <w:p w:rsidR="00814984" w:rsidRPr="00E971F1" w:rsidRDefault="00814984" w:rsidP="00814984">
      <w:pPr>
        <w:spacing w:after="0" w:line="240" w:lineRule="auto"/>
        <w:rPr>
          <w:rFonts w:ascii="Times New Roman" w:hAnsi="Times New Roman" w:cs="Times New Roman"/>
          <w:lang w:val="en-US"/>
        </w:rPr>
      </w:pPr>
    </w:p>
    <w:p w:rsidR="007B4539" w:rsidRPr="00E971F1" w:rsidRDefault="00164C60" w:rsidP="00E971F1">
      <w:pPr>
        <w:pStyle w:val="Titolo1"/>
        <w:rPr>
          <w:rStyle w:val="Enfasiintensa"/>
          <w:rFonts w:ascii="Times New Roman" w:hAnsi="Times New Roman" w:cs="Times New Roman"/>
          <w:b/>
          <w:i w:val="0"/>
          <w:color w:val="auto"/>
          <w:lang w:val="en-US"/>
        </w:rPr>
      </w:pPr>
      <w:bookmarkStart w:id="1" w:name="_Toc471117700"/>
      <w:r w:rsidRPr="00E971F1">
        <w:rPr>
          <w:rStyle w:val="Enfasiintensa"/>
          <w:rFonts w:ascii="Times New Roman" w:hAnsi="Times New Roman" w:cs="Times New Roman"/>
          <w:b/>
          <w:i w:val="0"/>
          <w:color w:val="auto"/>
          <w:lang w:val="en-US"/>
        </w:rPr>
        <w:t>Factors contributing to student</w:t>
      </w:r>
      <w:r w:rsidR="00E15BF2" w:rsidRPr="00E971F1">
        <w:rPr>
          <w:rStyle w:val="Enfasiintensa"/>
          <w:rFonts w:ascii="Times New Roman" w:hAnsi="Times New Roman" w:cs="Times New Roman"/>
          <w:b/>
          <w:i w:val="0"/>
          <w:color w:val="auto"/>
          <w:lang w:val="en-US"/>
        </w:rPr>
        <w:t>s leaving the education system e</w:t>
      </w:r>
      <w:r w:rsidRPr="00E971F1">
        <w:rPr>
          <w:rStyle w:val="Enfasiintensa"/>
          <w:rFonts w:ascii="Times New Roman" w:hAnsi="Times New Roman" w:cs="Times New Roman"/>
          <w:b/>
          <w:i w:val="0"/>
          <w:color w:val="auto"/>
          <w:lang w:val="en-US"/>
        </w:rPr>
        <w:t xml:space="preserve">arly in </w:t>
      </w:r>
      <w:r w:rsidR="00C11B7A" w:rsidRPr="00E971F1">
        <w:rPr>
          <w:rStyle w:val="Enfasiintensa"/>
          <w:rFonts w:ascii="Times New Roman" w:hAnsi="Times New Roman" w:cs="Times New Roman"/>
          <w:b/>
          <w:i w:val="0"/>
          <w:color w:val="auto"/>
          <w:lang w:val="en-US"/>
        </w:rPr>
        <w:t>Italy</w:t>
      </w:r>
      <w:bookmarkEnd w:id="1"/>
    </w:p>
    <w:p w:rsidR="007B4539" w:rsidRPr="00E971F1" w:rsidRDefault="007B4539" w:rsidP="00E15BF2">
      <w:pPr>
        <w:pStyle w:val="Normale1"/>
        <w:spacing w:after="0" w:line="240" w:lineRule="auto"/>
        <w:jc w:val="both"/>
        <w:rPr>
          <w:rFonts w:ascii="Times New Roman" w:hAnsi="Times New Roman" w:cs="Times New Roman"/>
          <w:sz w:val="24"/>
          <w:szCs w:val="24"/>
          <w:lang w:val="en-US"/>
        </w:rPr>
      </w:pPr>
    </w:p>
    <w:p w:rsidR="00C11B7A" w:rsidRPr="00C11B7A" w:rsidRDefault="00C11B7A" w:rsidP="00E15BF2">
      <w:pPr>
        <w:spacing w:after="0" w:line="240" w:lineRule="auto"/>
        <w:jc w:val="both"/>
        <w:rPr>
          <w:rFonts w:ascii="Times New Roman" w:eastAsia="Calibri" w:hAnsi="Times New Roman" w:cs="Times New Roman"/>
          <w:sz w:val="24"/>
          <w:szCs w:val="24"/>
          <w:lang w:val="en-US"/>
        </w:rPr>
      </w:pPr>
      <w:r w:rsidRPr="00C11B7A">
        <w:rPr>
          <w:rFonts w:ascii="Times New Roman" w:eastAsia="Calibri" w:hAnsi="Times New Roman" w:cs="Times New Roman"/>
          <w:sz w:val="24"/>
          <w:szCs w:val="24"/>
          <w:lang w:val="en-US"/>
        </w:rPr>
        <w:t xml:space="preserve">Italy is one of the EU-28 countries where the phenomenon of early school leavers is most severe: about 15% of Italian young adults </w:t>
      </w:r>
      <w:r w:rsidR="00ED6C68">
        <w:rPr>
          <w:rFonts w:ascii="Times New Roman" w:eastAsia="Calibri" w:hAnsi="Times New Roman" w:cs="Times New Roman"/>
          <w:sz w:val="24"/>
          <w:szCs w:val="24"/>
          <w:lang w:val="en-US"/>
        </w:rPr>
        <w:t xml:space="preserve">(18-24 years old) </w:t>
      </w:r>
      <w:r w:rsidRPr="00C11B7A">
        <w:rPr>
          <w:rFonts w:ascii="Times New Roman" w:eastAsia="Calibri" w:hAnsi="Times New Roman" w:cs="Times New Roman"/>
          <w:sz w:val="24"/>
          <w:szCs w:val="24"/>
          <w:lang w:val="en-US"/>
        </w:rPr>
        <w:t xml:space="preserve">do not hold an upper-secondary degree, lagging behind the average European value of 10% and being still a long way from the European targets set by the 2030 Agenda. </w:t>
      </w:r>
    </w:p>
    <w:p w:rsidR="00C11B7A" w:rsidRPr="00E971F1" w:rsidRDefault="00C11B7A" w:rsidP="00E15BF2">
      <w:pPr>
        <w:spacing w:after="0" w:line="240" w:lineRule="auto"/>
        <w:jc w:val="both"/>
        <w:rPr>
          <w:rFonts w:ascii="Times New Roman" w:eastAsia="Calibri" w:hAnsi="Times New Roman" w:cs="Times New Roman"/>
          <w:sz w:val="24"/>
          <w:szCs w:val="24"/>
          <w:lang w:val="en-US"/>
        </w:rPr>
      </w:pPr>
      <w:r w:rsidRPr="00C11B7A">
        <w:rPr>
          <w:rFonts w:ascii="Times New Roman" w:eastAsia="Calibri" w:hAnsi="Times New Roman" w:cs="Times New Roman"/>
          <w:sz w:val="24"/>
          <w:szCs w:val="24"/>
          <w:lang w:val="en-US"/>
        </w:rPr>
        <w:t>In addition to this, the amount of NEET</w:t>
      </w:r>
      <w:r w:rsidR="00892FE4">
        <w:rPr>
          <w:rFonts w:ascii="Times New Roman" w:eastAsia="Calibri" w:hAnsi="Times New Roman" w:cs="Times New Roman"/>
          <w:sz w:val="24"/>
          <w:szCs w:val="24"/>
          <w:lang w:val="en-US"/>
        </w:rPr>
        <w:t>s</w:t>
      </w:r>
      <w:r w:rsidRPr="00C11B7A">
        <w:rPr>
          <w:rFonts w:ascii="Times New Roman" w:eastAsia="Calibri" w:hAnsi="Times New Roman" w:cs="Times New Roman"/>
          <w:sz w:val="24"/>
          <w:szCs w:val="24"/>
          <w:lang w:val="en-US"/>
        </w:rPr>
        <w:t xml:space="preserve"> (Not in Education, Employment or Training) has increased in Italy in the last few years, partly because of the economic crisis: in 2015 the 31,1% </w:t>
      </w:r>
      <w:r w:rsidRPr="00C11B7A">
        <w:rPr>
          <w:rFonts w:ascii="Times New Roman" w:eastAsia="Calibri" w:hAnsi="Times New Roman" w:cs="Times New Roman"/>
          <w:sz w:val="24"/>
          <w:szCs w:val="24"/>
          <w:lang w:val="en-US"/>
        </w:rPr>
        <w:lastRenderedPageBreak/>
        <w:t>of the whole population aged 20-24 doesn’t work and doesn’t study (</w:t>
      </w:r>
      <w:r w:rsidRPr="00C11B7A">
        <w:rPr>
          <w:rFonts w:ascii="Times New Roman" w:eastAsia="Calibri" w:hAnsi="Times New Roman" w:cs="Times New Roman"/>
          <w:i/>
          <w:sz w:val="24"/>
          <w:szCs w:val="24"/>
          <w:lang w:val="en-US"/>
        </w:rPr>
        <w:t>vs</w:t>
      </w:r>
      <w:r w:rsidRPr="00C11B7A">
        <w:rPr>
          <w:rFonts w:ascii="Times New Roman" w:eastAsia="Calibri" w:hAnsi="Times New Roman" w:cs="Times New Roman"/>
          <w:sz w:val="24"/>
          <w:szCs w:val="24"/>
          <w:lang w:val="en-US"/>
        </w:rPr>
        <w:t xml:space="preserve"> an European average of 14,6%).</w:t>
      </w:r>
      <w:r w:rsidRPr="00E971F1">
        <w:rPr>
          <w:rFonts w:ascii="Times New Roman" w:eastAsia="Calibri" w:hAnsi="Times New Roman" w:cs="Times New Roman"/>
          <w:sz w:val="24"/>
          <w:szCs w:val="24"/>
          <w:lang w:val="en-US"/>
        </w:rPr>
        <w:t xml:space="preserve"> </w:t>
      </w:r>
    </w:p>
    <w:p w:rsidR="00C11B7A" w:rsidRPr="00C11B7A" w:rsidRDefault="00C11B7A" w:rsidP="00E15BF2">
      <w:pPr>
        <w:spacing w:after="0" w:line="240" w:lineRule="auto"/>
        <w:jc w:val="both"/>
        <w:rPr>
          <w:rFonts w:ascii="Times New Roman" w:eastAsia="Calibri" w:hAnsi="Times New Roman" w:cs="Times New Roman"/>
          <w:sz w:val="24"/>
          <w:szCs w:val="24"/>
          <w:lang w:val="en-US"/>
        </w:rPr>
      </w:pPr>
      <w:r w:rsidRPr="00C11B7A">
        <w:rPr>
          <w:rFonts w:ascii="Times New Roman" w:eastAsia="Calibri" w:hAnsi="Times New Roman" w:cs="Times New Roman"/>
          <w:sz w:val="24"/>
          <w:szCs w:val="24"/>
          <w:lang w:val="en-US"/>
        </w:rPr>
        <w:t xml:space="preserve">Individual and family factors contribute to students leaving the education system early. National and international surveys and statistical data show that ESL is associated to gender, national origin, family’s economic and social status. </w:t>
      </w:r>
    </w:p>
    <w:p w:rsidR="00C11B7A" w:rsidRPr="00C11B7A" w:rsidRDefault="00C11B7A" w:rsidP="00E15BF2">
      <w:pPr>
        <w:spacing w:after="0" w:line="240" w:lineRule="auto"/>
        <w:jc w:val="both"/>
        <w:rPr>
          <w:rFonts w:ascii="Times New Roman" w:eastAsia="Calibri" w:hAnsi="Times New Roman" w:cs="Times New Roman"/>
          <w:sz w:val="24"/>
          <w:szCs w:val="24"/>
          <w:lang w:val="en-US"/>
        </w:rPr>
      </w:pPr>
      <w:r w:rsidRPr="00C11B7A">
        <w:rPr>
          <w:rFonts w:ascii="Times New Roman" w:eastAsia="Calibri" w:hAnsi="Times New Roman" w:cs="Times New Roman"/>
          <w:sz w:val="24"/>
          <w:szCs w:val="24"/>
          <w:lang w:val="en-US"/>
        </w:rPr>
        <w:t xml:space="preserve">As regard </w:t>
      </w:r>
      <w:r w:rsidRPr="00C11B7A">
        <w:rPr>
          <w:rFonts w:ascii="Times New Roman" w:eastAsia="Calibri" w:hAnsi="Times New Roman" w:cs="Times New Roman"/>
          <w:i/>
          <w:sz w:val="24"/>
          <w:szCs w:val="24"/>
          <w:lang w:val="en-US"/>
        </w:rPr>
        <w:t>gender</w:t>
      </w:r>
      <w:r w:rsidRPr="00C11B7A">
        <w:rPr>
          <w:rFonts w:ascii="Times New Roman" w:eastAsia="Calibri" w:hAnsi="Times New Roman" w:cs="Times New Roman"/>
          <w:sz w:val="24"/>
          <w:szCs w:val="24"/>
          <w:lang w:val="en-US"/>
        </w:rPr>
        <w:t>, male students tend to leave the education system earlier than female students. Thi</w:t>
      </w:r>
      <w:r w:rsidRPr="00E971F1">
        <w:rPr>
          <w:rFonts w:ascii="Times New Roman" w:eastAsia="Calibri" w:hAnsi="Times New Roman" w:cs="Times New Roman"/>
          <w:sz w:val="24"/>
          <w:szCs w:val="24"/>
          <w:lang w:val="en-US"/>
        </w:rPr>
        <w:t>s is a common tendency in the EU</w:t>
      </w:r>
      <w:r w:rsidRPr="00C11B7A">
        <w:rPr>
          <w:rFonts w:ascii="Times New Roman" w:eastAsia="Calibri" w:hAnsi="Times New Roman" w:cs="Times New Roman"/>
          <w:sz w:val="24"/>
          <w:szCs w:val="24"/>
          <w:lang w:val="en-US"/>
        </w:rPr>
        <w:t xml:space="preserve">28, but it is particularly evident in Italy: 20,2% of male students are drop-out </w:t>
      </w:r>
      <w:r w:rsidRPr="00C11B7A">
        <w:rPr>
          <w:rFonts w:ascii="Times New Roman" w:eastAsia="Calibri" w:hAnsi="Times New Roman" w:cs="Times New Roman"/>
          <w:i/>
          <w:sz w:val="24"/>
          <w:szCs w:val="24"/>
          <w:lang w:val="en-US"/>
        </w:rPr>
        <w:t>vs</w:t>
      </w:r>
      <w:r w:rsidRPr="00C11B7A">
        <w:rPr>
          <w:rFonts w:ascii="Times New Roman" w:eastAsia="Calibri" w:hAnsi="Times New Roman" w:cs="Times New Roman"/>
          <w:sz w:val="24"/>
          <w:szCs w:val="24"/>
          <w:lang w:val="en-US"/>
        </w:rPr>
        <w:t xml:space="preserve"> 13,7% of female students, whereas the European average percentage is respectively 13,6% for male and 10,2% for female students. </w:t>
      </w:r>
    </w:p>
    <w:p w:rsidR="00C11B7A" w:rsidRPr="00C11B7A" w:rsidRDefault="00C11B7A" w:rsidP="00E15BF2">
      <w:pPr>
        <w:spacing w:after="0" w:line="240" w:lineRule="auto"/>
        <w:jc w:val="both"/>
        <w:rPr>
          <w:rFonts w:ascii="Times New Roman" w:eastAsia="Calibri" w:hAnsi="Times New Roman" w:cs="Times New Roman"/>
          <w:sz w:val="24"/>
          <w:szCs w:val="24"/>
          <w:lang w:val="en-US"/>
        </w:rPr>
      </w:pPr>
      <w:r w:rsidRPr="00C11B7A">
        <w:rPr>
          <w:rFonts w:ascii="Times New Roman" w:eastAsia="Calibri" w:hAnsi="Times New Roman" w:cs="Times New Roman"/>
          <w:i/>
          <w:sz w:val="24"/>
          <w:szCs w:val="24"/>
          <w:lang w:val="en-US"/>
        </w:rPr>
        <w:t>National origin</w:t>
      </w:r>
      <w:r w:rsidRPr="00C11B7A">
        <w:rPr>
          <w:rFonts w:ascii="Times New Roman" w:eastAsia="Calibri" w:hAnsi="Times New Roman" w:cs="Times New Roman"/>
          <w:sz w:val="24"/>
          <w:szCs w:val="24"/>
          <w:lang w:val="en-US"/>
        </w:rPr>
        <w:t xml:space="preserve"> is another factor associated to ESL. Students who were born abroad tend to leave the education system more frequently than Italian students: 34,4% vs 14,8%. Again, Italy lags behind the rest of Europe, where the differences among foreign students and nationals are smaller (22,7% </w:t>
      </w:r>
      <w:r w:rsidRPr="00C11B7A">
        <w:rPr>
          <w:rFonts w:ascii="Times New Roman" w:eastAsia="Calibri" w:hAnsi="Times New Roman" w:cs="Times New Roman"/>
          <w:i/>
          <w:sz w:val="24"/>
          <w:szCs w:val="24"/>
          <w:lang w:val="en-US"/>
        </w:rPr>
        <w:t>vs</w:t>
      </w:r>
      <w:r w:rsidRPr="00C11B7A">
        <w:rPr>
          <w:rFonts w:ascii="Times New Roman" w:eastAsia="Calibri" w:hAnsi="Times New Roman" w:cs="Times New Roman"/>
          <w:sz w:val="24"/>
          <w:szCs w:val="24"/>
          <w:lang w:val="en-US"/>
        </w:rPr>
        <w:t xml:space="preserve"> 11%). Nevertheless, a distinction has to be made among students with a foreign background who were born in Italy (the so-called second generations) and those who were born abroad: the former have a smaller risk to drop out than the latter. Therefore, the differences among Italian and foreign-born students (but also among second generations and foreign-born students) can be partly explained by language barriers (Eurydice 2014, </w:t>
      </w:r>
      <w:proofErr w:type="spellStart"/>
      <w:r w:rsidRPr="00C11B7A">
        <w:rPr>
          <w:rFonts w:ascii="Times New Roman" w:eastAsia="Calibri" w:hAnsi="Times New Roman" w:cs="Times New Roman"/>
          <w:sz w:val="24"/>
          <w:szCs w:val="24"/>
          <w:lang w:val="en-US"/>
        </w:rPr>
        <w:t>Ismu</w:t>
      </w:r>
      <w:proofErr w:type="spellEnd"/>
      <w:r w:rsidRPr="00C11B7A">
        <w:rPr>
          <w:rFonts w:ascii="Times New Roman" w:eastAsia="Calibri" w:hAnsi="Times New Roman" w:cs="Times New Roman"/>
          <w:sz w:val="24"/>
          <w:szCs w:val="24"/>
          <w:lang w:val="en-US"/>
        </w:rPr>
        <w:t xml:space="preserve"> 2016). In fact immigrant background alone is not the determining factor of ESL. </w:t>
      </w:r>
    </w:p>
    <w:p w:rsidR="00C11B7A" w:rsidRPr="00C11B7A" w:rsidRDefault="00C11B7A" w:rsidP="00E15BF2">
      <w:pPr>
        <w:spacing w:after="0" w:line="240" w:lineRule="auto"/>
        <w:jc w:val="both"/>
        <w:rPr>
          <w:rFonts w:ascii="Times New Roman" w:eastAsia="Calibri" w:hAnsi="Times New Roman" w:cs="Times New Roman"/>
          <w:sz w:val="24"/>
          <w:szCs w:val="24"/>
          <w:lang w:val="en-US"/>
        </w:rPr>
      </w:pPr>
      <w:r w:rsidRPr="00C11B7A">
        <w:rPr>
          <w:rFonts w:ascii="Times New Roman" w:eastAsia="Calibri" w:hAnsi="Times New Roman" w:cs="Times New Roman"/>
          <w:sz w:val="24"/>
          <w:szCs w:val="24"/>
          <w:lang w:val="en-US"/>
        </w:rPr>
        <w:t xml:space="preserve">Disparities depend also on </w:t>
      </w:r>
      <w:r w:rsidRPr="00C11B7A">
        <w:rPr>
          <w:rFonts w:ascii="Times New Roman" w:eastAsia="Calibri" w:hAnsi="Times New Roman" w:cs="Times New Roman"/>
          <w:i/>
          <w:sz w:val="24"/>
          <w:szCs w:val="24"/>
          <w:lang w:val="en-US"/>
        </w:rPr>
        <w:t>socio-economic background</w:t>
      </w:r>
      <w:r w:rsidRPr="00C11B7A">
        <w:rPr>
          <w:rFonts w:ascii="Times New Roman" w:eastAsia="Calibri" w:hAnsi="Times New Roman" w:cs="Times New Roman"/>
          <w:sz w:val="24"/>
          <w:szCs w:val="24"/>
          <w:lang w:val="en-US"/>
        </w:rPr>
        <w:t xml:space="preserve"> of students and their families. ESL is also associated with low household income, parental unemployment, and low level of parental education.  </w:t>
      </w:r>
    </w:p>
    <w:p w:rsidR="00C11B7A" w:rsidRPr="00C11B7A" w:rsidRDefault="00C11B7A" w:rsidP="00E15BF2">
      <w:pPr>
        <w:spacing w:after="0" w:line="240" w:lineRule="auto"/>
        <w:jc w:val="both"/>
        <w:rPr>
          <w:rFonts w:ascii="Times New Roman" w:eastAsia="Calibri" w:hAnsi="Times New Roman" w:cs="Times New Roman"/>
          <w:sz w:val="24"/>
          <w:szCs w:val="24"/>
          <w:lang w:val="en-US"/>
        </w:rPr>
      </w:pPr>
      <w:r w:rsidRPr="00C11B7A">
        <w:rPr>
          <w:rFonts w:ascii="Times New Roman" w:eastAsia="Calibri" w:hAnsi="Times New Roman" w:cs="Times New Roman"/>
          <w:sz w:val="24"/>
          <w:szCs w:val="24"/>
          <w:lang w:val="en-US"/>
        </w:rPr>
        <w:t xml:space="preserve">Living in a family affected by poverty coupled with parental low educational levels has a negative effect on children school performances and outcomes, thus on their risk of drop-out. </w:t>
      </w:r>
    </w:p>
    <w:p w:rsidR="007D6434" w:rsidRPr="00E971F1" w:rsidRDefault="00C11B7A" w:rsidP="00E15BF2">
      <w:pPr>
        <w:spacing w:after="0" w:line="240" w:lineRule="auto"/>
        <w:jc w:val="both"/>
        <w:rPr>
          <w:rFonts w:ascii="Times New Roman" w:eastAsia="Calibri" w:hAnsi="Times New Roman" w:cs="Times New Roman"/>
          <w:sz w:val="24"/>
          <w:szCs w:val="24"/>
          <w:lang w:val="en-US"/>
        </w:rPr>
      </w:pPr>
      <w:r w:rsidRPr="00C11B7A">
        <w:rPr>
          <w:rFonts w:ascii="Times New Roman" w:eastAsia="Calibri" w:hAnsi="Times New Roman" w:cs="Times New Roman"/>
          <w:sz w:val="24"/>
          <w:szCs w:val="24"/>
          <w:lang w:val="en-US"/>
        </w:rPr>
        <w:t xml:space="preserve">In Italy 6 children (0-17 years old) out of 10 </w:t>
      </w:r>
      <w:r w:rsidR="007D6434" w:rsidRPr="00E971F1">
        <w:rPr>
          <w:rFonts w:ascii="Times New Roman" w:eastAsia="Calibri" w:hAnsi="Times New Roman" w:cs="Times New Roman"/>
          <w:sz w:val="24"/>
          <w:szCs w:val="24"/>
          <w:lang w:val="en-US"/>
        </w:rPr>
        <w:t>w</w:t>
      </w:r>
      <w:r w:rsidRPr="00C11B7A">
        <w:rPr>
          <w:rFonts w:ascii="Times New Roman" w:eastAsia="Calibri" w:hAnsi="Times New Roman" w:cs="Times New Roman"/>
          <w:sz w:val="24"/>
          <w:szCs w:val="24"/>
          <w:lang w:val="en-US"/>
        </w:rPr>
        <w:t xml:space="preserve">hose parental level of education is low are at risk of poverty and social exclusion, thus they are at risk of educational disadvantage. </w:t>
      </w:r>
    </w:p>
    <w:p w:rsidR="00C11B7A" w:rsidRPr="00C11B7A" w:rsidRDefault="00C11B7A" w:rsidP="00E15BF2">
      <w:pPr>
        <w:spacing w:after="0" w:line="240" w:lineRule="auto"/>
        <w:jc w:val="both"/>
        <w:rPr>
          <w:rFonts w:ascii="Times New Roman" w:eastAsia="Calibri" w:hAnsi="Times New Roman" w:cs="Times New Roman"/>
          <w:sz w:val="24"/>
          <w:szCs w:val="24"/>
          <w:lang w:val="en-US"/>
        </w:rPr>
      </w:pPr>
      <w:r w:rsidRPr="00C11B7A">
        <w:rPr>
          <w:rFonts w:ascii="Times New Roman" w:eastAsia="Calibri" w:hAnsi="Times New Roman" w:cs="Times New Roman"/>
          <w:sz w:val="24"/>
          <w:szCs w:val="24"/>
          <w:lang w:val="en-US"/>
        </w:rPr>
        <w:t>The risk of social exclusion is higher for Italian children than for their European peers, and this is partly due to the economic crisis, which made the families’ economic conditions worse, and particularly affected those families which already were the most disa</w:t>
      </w:r>
      <w:r w:rsidR="00892FE4">
        <w:rPr>
          <w:rFonts w:ascii="Times New Roman" w:eastAsia="Calibri" w:hAnsi="Times New Roman" w:cs="Times New Roman"/>
          <w:sz w:val="24"/>
          <w:szCs w:val="24"/>
          <w:lang w:val="en-US"/>
        </w:rPr>
        <w:t>dvantaged (European Union 2016).</w:t>
      </w:r>
    </w:p>
    <w:p w:rsidR="00C11B7A" w:rsidRPr="00C11B7A" w:rsidRDefault="00C11B7A" w:rsidP="00E15BF2">
      <w:pPr>
        <w:spacing w:after="0" w:line="240" w:lineRule="auto"/>
        <w:jc w:val="both"/>
        <w:rPr>
          <w:rFonts w:ascii="Times New Roman" w:eastAsia="Calibri" w:hAnsi="Times New Roman" w:cs="Times New Roman"/>
          <w:sz w:val="24"/>
          <w:szCs w:val="24"/>
          <w:lang w:val="en-US"/>
        </w:rPr>
      </w:pPr>
      <w:r w:rsidRPr="00C11B7A">
        <w:rPr>
          <w:rFonts w:ascii="Times New Roman" w:eastAsia="Calibri" w:hAnsi="Times New Roman" w:cs="Times New Roman"/>
          <w:sz w:val="24"/>
          <w:szCs w:val="24"/>
          <w:lang w:val="en-US"/>
        </w:rPr>
        <w:t xml:space="preserve">In addition to the economic disadvantage, parents with low levels of education are less likely to help children study and do homework, encourage their children’s attendance and investments in education, and develop their cultural capital. They are likely to have unskilled or semi-skilled labor, and they earn less money that those with high levels of education and skilled labors, consequently their children are deprived economically and materially and they do not have enough resources to study. The economic and social exclusion of parents influences the educational paths and outcomes of children, their future job opportunities and their risk to become NEETs. This is also highlighted by data: in Europe nearly a third of low-skilled NEET’s live in a jobless household (OECD, 2016). </w:t>
      </w:r>
    </w:p>
    <w:p w:rsidR="00C11B7A" w:rsidRPr="00E971F1" w:rsidRDefault="00C11B7A" w:rsidP="00E15BF2">
      <w:pPr>
        <w:pStyle w:val="Normale1"/>
        <w:spacing w:after="0" w:line="240" w:lineRule="auto"/>
        <w:jc w:val="both"/>
        <w:rPr>
          <w:rFonts w:ascii="Times New Roman" w:hAnsi="Times New Roman" w:cs="Times New Roman"/>
          <w:sz w:val="24"/>
          <w:szCs w:val="24"/>
          <w:lang w:val="en-US"/>
        </w:rPr>
      </w:pPr>
    </w:p>
    <w:p w:rsidR="00ED6C68" w:rsidRDefault="00ED6C68" w:rsidP="00814984">
      <w:pPr>
        <w:pStyle w:val="Normale1"/>
        <w:spacing w:after="0" w:line="240" w:lineRule="auto"/>
        <w:rPr>
          <w:rFonts w:ascii="Times New Roman" w:hAnsi="Times New Roman" w:cs="Times New Roman"/>
          <w:sz w:val="24"/>
          <w:szCs w:val="24"/>
          <w:lang w:val="en-US"/>
        </w:rPr>
      </w:pPr>
    </w:p>
    <w:p w:rsidR="00ED6C68" w:rsidRDefault="00ED6C68" w:rsidP="00814984">
      <w:pPr>
        <w:pStyle w:val="Normale1"/>
        <w:spacing w:after="0" w:line="240" w:lineRule="auto"/>
        <w:rPr>
          <w:rFonts w:ascii="Times New Roman" w:hAnsi="Times New Roman" w:cs="Times New Roman"/>
          <w:sz w:val="24"/>
          <w:szCs w:val="24"/>
          <w:lang w:val="en-US"/>
        </w:rPr>
      </w:pPr>
    </w:p>
    <w:p w:rsidR="00ED6C68" w:rsidRPr="00ED6C68" w:rsidRDefault="006202C7" w:rsidP="00814984">
      <w:pPr>
        <w:pStyle w:val="Normale1"/>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Tab.1 Early schools leavers </w:t>
      </w:r>
      <w:r w:rsidR="00ED6C68" w:rsidRPr="00ED6C68">
        <w:rPr>
          <w:rFonts w:ascii="Times New Roman" w:hAnsi="Times New Roman" w:cs="Times New Roman"/>
          <w:b/>
          <w:sz w:val="24"/>
          <w:szCs w:val="24"/>
          <w:lang w:val="en-US"/>
        </w:rPr>
        <w:t>in Italy</w:t>
      </w:r>
      <w:r>
        <w:rPr>
          <w:rFonts w:ascii="Times New Roman" w:hAnsi="Times New Roman" w:cs="Times New Roman"/>
          <w:b/>
          <w:sz w:val="24"/>
          <w:szCs w:val="24"/>
          <w:lang w:val="en-US"/>
        </w:rPr>
        <w:t xml:space="preserve"> (</w:t>
      </w:r>
      <w:r w:rsidRPr="00ED6C68">
        <w:rPr>
          <w:rFonts w:ascii="Times New Roman" w:hAnsi="Times New Roman" w:cs="Times New Roman"/>
          <w:b/>
          <w:sz w:val="24"/>
          <w:szCs w:val="24"/>
          <w:lang w:val="en-US"/>
        </w:rPr>
        <w:t>18-24 years old)</w:t>
      </w:r>
      <w:r w:rsidR="00ED6C68">
        <w:rPr>
          <w:rFonts w:ascii="Times New Roman" w:hAnsi="Times New Roman" w:cs="Times New Roman"/>
          <w:b/>
          <w:sz w:val="24"/>
          <w:szCs w:val="24"/>
          <w:lang w:val="en-US"/>
        </w:rPr>
        <w:t>,</w:t>
      </w:r>
      <w:r w:rsidR="00ED6C68" w:rsidRPr="00ED6C68">
        <w:rPr>
          <w:rFonts w:ascii="Times New Roman" w:hAnsi="Times New Roman" w:cs="Times New Roman"/>
          <w:b/>
          <w:sz w:val="24"/>
          <w:szCs w:val="24"/>
          <w:lang w:val="en-US"/>
        </w:rPr>
        <w:t xml:space="preserve"> by sex and national origin (percent)</w:t>
      </w:r>
      <w:r w:rsidR="00ED6C68">
        <w:rPr>
          <w:rFonts w:ascii="Times New Roman" w:hAnsi="Times New Roman" w:cs="Times New Roman"/>
          <w:b/>
          <w:sz w:val="24"/>
          <w:szCs w:val="24"/>
          <w:lang w:val="en-US"/>
        </w:rPr>
        <w:t xml:space="preserve"> (2014).</w:t>
      </w:r>
    </w:p>
    <w:p w:rsidR="00ED6C68" w:rsidRPr="00ED6C68" w:rsidRDefault="00ED6C68" w:rsidP="00814984">
      <w:pPr>
        <w:pStyle w:val="Normale1"/>
        <w:spacing w:after="0" w:line="240" w:lineRule="auto"/>
        <w:rPr>
          <w:rFonts w:ascii="Times New Roman" w:hAnsi="Times New Roman" w:cs="Times New Roman"/>
          <w:sz w:val="24"/>
          <w:szCs w:val="24"/>
          <w:lang w:val="en-US"/>
        </w:rPr>
      </w:pPr>
    </w:p>
    <w:tbl>
      <w:tblPr>
        <w:tblW w:w="8900" w:type="dxa"/>
        <w:tblInd w:w="55" w:type="dxa"/>
        <w:tblCellMar>
          <w:left w:w="70" w:type="dxa"/>
          <w:right w:w="70" w:type="dxa"/>
        </w:tblCellMar>
        <w:tblLook w:val="04A0" w:firstRow="1" w:lastRow="0" w:firstColumn="1" w:lastColumn="0" w:noHBand="0" w:noVBand="1"/>
      </w:tblPr>
      <w:tblGrid>
        <w:gridCol w:w="2880"/>
        <w:gridCol w:w="2880"/>
        <w:gridCol w:w="260"/>
        <w:gridCol w:w="960"/>
        <w:gridCol w:w="960"/>
        <w:gridCol w:w="960"/>
      </w:tblGrid>
      <w:tr w:rsidR="00ED6C68" w:rsidRPr="00D955C4" w:rsidTr="00ED6C68">
        <w:trPr>
          <w:trHeight w:val="255"/>
        </w:trPr>
        <w:tc>
          <w:tcPr>
            <w:tcW w:w="6020" w:type="dxa"/>
            <w:gridSpan w:val="3"/>
            <w:tcBorders>
              <w:top w:val="single" w:sz="4" w:space="0" w:color="C0C0C0"/>
              <w:left w:val="single" w:sz="4" w:space="0" w:color="C0C0C0"/>
              <w:bottom w:val="single" w:sz="4" w:space="0" w:color="C0C0C0"/>
              <w:right w:val="single" w:sz="4" w:space="0" w:color="C0C0C0"/>
            </w:tcBorders>
            <w:shd w:val="clear" w:color="000000" w:fill="00A1E3"/>
            <w:vAlign w:val="center"/>
            <w:hideMark/>
          </w:tcPr>
          <w:p w:rsidR="00ED6C68" w:rsidRPr="00D955C4" w:rsidRDefault="00ED6C68" w:rsidP="00ED6C68">
            <w:pPr>
              <w:spacing w:after="0" w:line="240" w:lineRule="auto"/>
              <w:jc w:val="right"/>
              <w:rPr>
                <w:rFonts w:ascii="Times New Roman" w:eastAsia="Times New Roman" w:hAnsi="Times New Roman" w:cs="Times New Roman"/>
                <w:b/>
                <w:bCs/>
                <w:sz w:val="24"/>
                <w:szCs w:val="24"/>
                <w:lang w:val="en-US"/>
              </w:rPr>
            </w:pPr>
          </w:p>
        </w:tc>
        <w:tc>
          <w:tcPr>
            <w:tcW w:w="2880" w:type="dxa"/>
            <w:gridSpan w:val="3"/>
            <w:tcBorders>
              <w:top w:val="single" w:sz="4" w:space="0" w:color="C0C0C0"/>
              <w:left w:val="nil"/>
              <w:bottom w:val="single" w:sz="4" w:space="0" w:color="C0C0C0"/>
              <w:right w:val="single" w:sz="4" w:space="0" w:color="C0C0C0"/>
            </w:tcBorders>
            <w:shd w:val="clear" w:color="000000" w:fill="00A1E3"/>
            <w:hideMark/>
          </w:tcPr>
          <w:p w:rsidR="00ED6C68" w:rsidRPr="00D955C4" w:rsidRDefault="00ED6C68" w:rsidP="00ED6C68">
            <w:pPr>
              <w:spacing w:after="0" w:line="240" w:lineRule="auto"/>
              <w:jc w:val="center"/>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2014</w:t>
            </w:r>
          </w:p>
        </w:tc>
      </w:tr>
      <w:tr w:rsidR="00ED6C68" w:rsidRPr="00D955C4" w:rsidTr="00ED6C68">
        <w:trPr>
          <w:trHeight w:val="255"/>
        </w:trPr>
        <w:tc>
          <w:tcPr>
            <w:tcW w:w="6020" w:type="dxa"/>
            <w:gridSpan w:val="3"/>
            <w:tcBorders>
              <w:top w:val="single" w:sz="4" w:space="0" w:color="C0C0C0"/>
              <w:left w:val="single" w:sz="4" w:space="0" w:color="C0C0C0"/>
              <w:bottom w:val="single" w:sz="4" w:space="0" w:color="C0C0C0"/>
              <w:right w:val="single" w:sz="4" w:space="0" w:color="C0C0C0"/>
            </w:tcBorders>
            <w:shd w:val="clear" w:color="000000" w:fill="00A1E3"/>
            <w:vAlign w:val="center"/>
            <w:hideMark/>
          </w:tcPr>
          <w:p w:rsidR="00ED6C68" w:rsidRPr="00D955C4" w:rsidRDefault="00ED6C68" w:rsidP="00ED6C68">
            <w:pPr>
              <w:spacing w:after="0" w:line="240" w:lineRule="auto"/>
              <w:jc w:val="right"/>
              <w:rPr>
                <w:rFonts w:ascii="Times New Roman" w:eastAsia="Times New Roman" w:hAnsi="Times New Roman" w:cs="Times New Roman"/>
                <w:b/>
                <w:bCs/>
                <w:sz w:val="24"/>
                <w:szCs w:val="24"/>
              </w:rPr>
            </w:pPr>
          </w:p>
        </w:tc>
        <w:tc>
          <w:tcPr>
            <w:tcW w:w="960" w:type="dxa"/>
            <w:tcBorders>
              <w:top w:val="nil"/>
              <w:left w:val="nil"/>
              <w:bottom w:val="single" w:sz="4" w:space="0" w:color="C0C0C0"/>
              <w:right w:val="single" w:sz="4" w:space="0" w:color="C0C0C0"/>
            </w:tcBorders>
            <w:shd w:val="clear" w:color="000000" w:fill="00A1E3"/>
            <w:hideMark/>
          </w:tcPr>
          <w:p w:rsidR="00ED6C68" w:rsidRPr="00D955C4" w:rsidRDefault="00ED6C68" w:rsidP="00ED6C68">
            <w:pPr>
              <w:spacing w:after="0" w:line="240" w:lineRule="auto"/>
              <w:jc w:val="center"/>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Male</w:t>
            </w:r>
          </w:p>
        </w:tc>
        <w:tc>
          <w:tcPr>
            <w:tcW w:w="960" w:type="dxa"/>
            <w:tcBorders>
              <w:top w:val="nil"/>
              <w:left w:val="nil"/>
              <w:bottom w:val="single" w:sz="4" w:space="0" w:color="C0C0C0"/>
              <w:right w:val="single" w:sz="4" w:space="0" w:color="C0C0C0"/>
            </w:tcBorders>
            <w:shd w:val="clear" w:color="000000" w:fill="00A1E3"/>
            <w:hideMark/>
          </w:tcPr>
          <w:p w:rsidR="00ED6C68" w:rsidRPr="00D955C4" w:rsidRDefault="00ED6C68" w:rsidP="00ED6C68">
            <w:pPr>
              <w:spacing w:after="0" w:line="240" w:lineRule="auto"/>
              <w:jc w:val="center"/>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lang w:val="en-US"/>
              </w:rPr>
              <w:t>Female</w:t>
            </w:r>
          </w:p>
        </w:tc>
        <w:tc>
          <w:tcPr>
            <w:tcW w:w="960" w:type="dxa"/>
            <w:tcBorders>
              <w:top w:val="nil"/>
              <w:left w:val="nil"/>
              <w:bottom w:val="single" w:sz="4" w:space="0" w:color="C0C0C0"/>
              <w:right w:val="single" w:sz="4" w:space="0" w:color="C0C0C0"/>
            </w:tcBorders>
            <w:shd w:val="clear" w:color="000000" w:fill="00A1E3"/>
            <w:hideMark/>
          </w:tcPr>
          <w:p w:rsidR="00ED6C68" w:rsidRPr="00D955C4" w:rsidRDefault="00ED6C68" w:rsidP="00ED6C68">
            <w:pPr>
              <w:spacing w:after="0" w:line="240" w:lineRule="auto"/>
              <w:jc w:val="center"/>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Total</w:t>
            </w:r>
          </w:p>
        </w:tc>
      </w:tr>
      <w:tr w:rsidR="00ED6C68" w:rsidRPr="00D955C4" w:rsidTr="00ED6C68">
        <w:trPr>
          <w:trHeight w:val="270"/>
        </w:trPr>
        <w:tc>
          <w:tcPr>
            <w:tcW w:w="2880" w:type="dxa"/>
            <w:tcBorders>
              <w:top w:val="nil"/>
              <w:left w:val="single" w:sz="4" w:space="0" w:color="C0C0C0"/>
              <w:bottom w:val="single" w:sz="4" w:space="0" w:color="C0C0C0"/>
              <w:right w:val="single" w:sz="4" w:space="0" w:color="C0C0C0"/>
            </w:tcBorders>
            <w:shd w:val="clear" w:color="000000" w:fill="C4D8ED"/>
            <w:vAlign w:val="bottom"/>
            <w:hideMark/>
          </w:tcPr>
          <w:p w:rsidR="00ED6C68" w:rsidRPr="00D955C4" w:rsidRDefault="00ED6C68" w:rsidP="00ED6C68">
            <w:pPr>
              <w:spacing w:after="0" w:line="240" w:lineRule="auto"/>
              <w:rPr>
                <w:rFonts w:ascii="Times New Roman" w:eastAsia="Times New Roman" w:hAnsi="Times New Roman" w:cs="Times New Roman"/>
                <w:b/>
                <w:bCs/>
                <w:sz w:val="24"/>
                <w:szCs w:val="24"/>
              </w:rPr>
            </w:pPr>
            <w:r w:rsidRPr="00D955C4">
              <w:rPr>
                <w:rFonts w:ascii="Times New Roman" w:eastAsia="Times New Roman" w:hAnsi="Times New Roman" w:cs="Times New Roman"/>
                <w:b/>
                <w:bCs/>
                <w:sz w:val="24"/>
                <w:szCs w:val="24"/>
              </w:rPr>
              <w:t>Territorio</w:t>
            </w:r>
          </w:p>
        </w:tc>
        <w:tc>
          <w:tcPr>
            <w:tcW w:w="2880" w:type="dxa"/>
            <w:tcBorders>
              <w:top w:val="nil"/>
              <w:left w:val="nil"/>
              <w:bottom w:val="single" w:sz="4" w:space="0" w:color="C0C0C0"/>
              <w:right w:val="single" w:sz="4" w:space="0" w:color="C0C0C0"/>
            </w:tcBorders>
            <w:shd w:val="clear" w:color="000000" w:fill="C4D8ED"/>
            <w:vAlign w:val="bottom"/>
            <w:hideMark/>
          </w:tcPr>
          <w:p w:rsidR="00ED6C68" w:rsidRPr="00D955C4" w:rsidRDefault="00ED6C68" w:rsidP="00ED6C68">
            <w:pPr>
              <w:spacing w:after="0" w:line="240" w:lineRule="auto"/>
              <w:rPr>
                <w:rFonts w:ascii="Times New Roman" w:eastAsia="Times New Roman" w:hAnsi="Times New Roman" w:cs="Times New Roman"/>
                <w:b/>
                <w:bCs/>
                <w:sz w:val="24"/>
                <w:szCs w:val="24"/>
                <w:lang w:val="en-US"/>
              </w:rPr>
            </w:pPr>
            <w:r w:rsidRPr="00D955C4">
              <w:rPr>
                <w:rFonts w:ascii="Times New Roman" w:eastAsia="Times New Roman" w:hAnsi="Times New Roman" w:cs="Times New Roman"/>
                <w:b/>
                <w:bCs/>
                <w:sz w:val="24"/>
                <w:szCs w:val="24"/>
                <w:lang w:val="en-US"/>
              </w:rPr>
              <w:t>National origin</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r>
      <w:tr w:rsidR="00ED6C68" w:rsidRPr="00D955C4" w:rsidTr="00ED6C68">
        <w:trPr>
          <w:trHeight w:val="270"/>
        </w:trPr>
        <w:tc>
          <w:tcPr>
            <w:tcW w:w="2880" w:type="dxa"/>
            <w:vMerge w:val="restart"/>
            <w:tcBorders>
              <w:top w:val="nil"/>
              <w:left w:val="single" w:sz="4" w:space="0" w:color="C0C0C0"/>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Italy</w:t>
            </w: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ED6C68"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Italian</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15,8</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10,2</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13,1</w:t>
            </w:r>
          </w:p>
        </w:tc>
      </w:tr>
      <w:tr w:rsidR="00ED6C68" w:rsidRPr="00D955C4" w:rsidTr="00ED6C68">
        <w:trPr>
          <w:trHeight w:val="270"/>
        </w:trPr>
        <w:tc>
          <w:tcPr>
            <w:tcW w:w="2880" w:type="dxa"/>
            <w:vMerge/>
            <w:tcBorders>
              <w:top w:val="nil"/>
              <w:left w:val="single" w:sz="4" w:space="0" w:color="C0C0C0"/>
              <w:bottom w:val="single" w:sz="4" w:space="0" w:color="C0C0C0"/>
              <w:right w:val="single" w:sz="4" w:space="0" w:color="C0C0C0"/>
            </w:tcBorders>
            <w:vAlign w:val="center"/>
            <w:hideMark/>
          </w:tcPr>
          <w:p w:rsidR="00ED6C68" w:rsidRPr="00D955C4" w:rsidRDefault="00ED6C68" w:rsidP="00ED6C68">
            <w:pPr>
              <w:spacing w:after="0" w:line="240" w:lineRule="auto"/>
              <w:rPr>
                <w:rFonts w:ascii="Times New Roman" w:eastAsia="Times New Roman" w:hAnsi="Times New Roman" w:cs="Times New Roman"/>
                <w:sz w:val="24"/>
                <w:szCs w:val="24"/>
              </w:rPr>
            </w:pP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Foreign</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37,4</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32,4</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34,9</w:t>
            </w:r>
          </w:p>
        </w:tc>
      </w:tr>
      <w:tr w:rsidR="00ED6C68" w:rsidRPr="00D955C4" w:rsidTr="00ED6C68">
        <w:trPr>
          <w:trHeight w:val="270"/>
        </w:trPr>
        <w:tc>
          <w:tcPr>
            <w:tcW w:w="2880" w:type="dxa"/>
            <w:vMerge/>
            <w:tcBorders>
              <w:top w:val="nil"/>
              <w:left w:val="single" w:sz="4" w:space="0" w:color="C0C0C0"/>
              <w:bottom w:val="single" w:sz="4" w:space="0" w:color="C0C0C0"/>
              <w:right w:val="single" w:sz="4" w:space="0" w:color="C0C0C0"/>
            </w:tcBorders>
            <w:vAlign w:val="center"/>
            <w:hideMark/>
          </w:tcPr>
          <w:p w:rsidR="00ED6C68" w:rsidRPr="00D955C4" w:rsidRDefault="00ED6C68" w:rsidP="00ED6C68">
            <w:pPr>
              <w:spacing w:after="0" w:line="240" w:lineRule="auto"/>
              <w:rPr>
                <w:rFonts w:ascii="Times New Roman" w:eastAsia="Times New Roman" w:hAnsi="Times New Roman" w:cs="Times New Roman"/>
                <w:sz w:val="24"/>
                <w:szCs w:val="24"/>
              </w:rPr>
            </w:pP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total</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17,7</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12,2</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15</w:t>
            </w:r>
          </w:p>
        </w:tc>
      </w:tr>
      <w:tr w:rsidR="00ED6C68" w:rsidRPr="00D955C4" w:rsidTr="00ED6C68">
        <w:trPr>
          <w:trHeight w:val="270"/>
        </w:trPr>
        <w:tc>
          <w:tcPr>
            <w:tcW w:w="2880" w:type="dxa"/>
            <w:vMerge w:val="restart"/>
            <w:tcBorders>
              <w:top w:val="nil"/>
              <w:left w:val="single" w:sz="4" w:space="0" w:color="C0C0C0"/>
              <w:bottom w:val="single" w:sz="4" w:space="0" w:color="C0C0C0"/>
              <w:right w:val="single" w:sz="4" w:space="0" w:color="C0C0C0"/>
            </w:tcBorders>
            <w:shd w:val="clear" w:color="000000" w:fill="C4D8ED"/>
            <w:hideMark/>
          </w:tcPr>
          <w:p w:rsidR="00ED6C68" w:rsidRPr="00D955C4" w:rsidRDefault="00ED6C68" w:rsidP="000A42D5">
            <w:pPr>
              <w:spacing w:after="0" w:line="240" w:lineRule="auto"/>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Nor</w:t>
            </w:r>
            <w:r w:rsidR="000A42D5" w:rsidRPr="00D955C4">
              <w:rPr>
                <w:rFonts w:ascii="Times New Roman" w:eastAsia="Times New Roman" w:hAnsi="Times New Roman" w:cs="Times New Roman"/>
                <w:sz w:val="24"/>
                <w:szCs w:val="24"/>
              </w:rPr>
              <w:t>th</w:t>
            </w: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Italian</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11,6</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6,6</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9,1</w:t>
            </w:r>
          </w:p>
        </w:tc>
      </w:tr>
      <w:tr w:rsidR="00ED6C68" w:rsidRPr="00D955C4" w:rsidTr="00ED6C68">
        <w:trPr>
          <w:trHeight w:val="270"/>
        </w:trPr>
        <w:tc>
          <w:tcPr>
            <w:tcW w:w="2880" w:type="dxa"/>
            <w:vMerge/>
            <w:tcBorders>
              <w:top w:val="nil"/>
              <w:left w:val="single" w:sz="4" w:space="0" w:color="C0C0C0"/>
              <w:bottom w:val="single" w:sz="4" w:space="0" w:color="C0C0C0"/>
              <w:right w:val="single" w:sz="4" w:space="0" w:color="C0C0C0"/>
            </w:tcBorders>
            <w:vAlign w:val="center"/>
            <w:hideMark/>
          </w:tcPr>
          <w:p w:rsidR="00ED6C68" w:rsidRPr="00D955C4" w:rsidRDefault="00ED6C68" w:rsidP="00ED6C68">
            <w:pPr>
              <w:spacing w:after="0" w:line="240" w:lineRule="auto"/>
              <w:rPr>
                <w:rFonts w:ascii="Times New Roman" w:eastAsia="Times New Roman" w:hAnsi="Times New Roman" w:cs="Times New Roman"/>
                <w:sz w:val="24"/>
                <w:szCs w:val="24"/>
              </w:rPr>
            </w:pP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Foreign</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32,5</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27,8</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30,1</w:t>
            </w:r>
          </w:p>
        </w:tc>
      </w:tr>
      <w:tr w:rsidR="00ED6C68" w:rsidRPr="00D955C4" w:rsidTr="00ED6C68">
        <w:trPr>
          <w:trHeight w:val="270"/>
        </w:trPr>
        <w:tc>
          <w:tcPr>
            <w:tcW w:w="2880" w:type="dxa"/>
            <w:vMerge/>
            <w:tcBorders>
              <w:top w:val="nil"/>
              <w:left w:val="single" w:sz="4" w:space="0" w:color="C0C0C0"/>
              <w:bottom w:val="single" w:sz="4" w:space="0" w:color="C0C0C0"/>
              <w:right w:val="single" w:sz="4" w:space="0" w:color="C0C0C0"/>
            </w:tcBorders>
            <w:vAlign w:val="center"/>
            <w:hideMark/>
          </w:tcPr>
          <w:p w:rsidR="00ED6C68" w:rsidRPr="00D955C4" w:rsidRDefault="00ED6C68" w:rsidP="00ED6C68">
            <w:pPr>
              <w:spacing w:after="0" w:line="240" w:lineRule="auto"/>
              <w:rPr>
                <w:rFonts w:ascii="Times New Roman" w:eastAsia="Times New Roman" w:hAnsi="Times New Roman" w:cs="Times New Roman"/>
                <w:sz w:val="24"/>
                <w:szCs w:val="24"/>
              </w:rPr>
            </w:pP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total</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14,3</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9,5</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12</w:t>
            </w:r>
          </w:p>
        </w:tc>
      </w:tr>
      <w:tr w:rsidR="00ED6C68" w:rsidRPr="00D955C4" w:rsidTr="00ED6C68">
        <w:trPr>
          <w:trHeight w:val="270"/>
        </w:trPr>
        <w:tc>
          <w:tcPr>
            <w:tcW w:w="2880" w:type="dxa"/>
            <w:vMerge w:val="restart"/>
            <w:tcBorders>
              <w:top w:val="nil"/>
              <w:left w:val="single" w:sz="4" w:space="0" w:color="C0C0C0"/>
              <w:bottom w:val="single" w:sz="4" w:space="0" w:color="C0C0C0"/>
              <w:right w:val="single" w:sz="4" w:space="0" w:color="C0C0C0"/>
            </w:tcBorders>
            <w:shd w:val="clear" w:color="000000" w:fill="C4D8ED"/>
            <w:hideMark/>
          </w:tcPr>
          <w:p w:rsidR="00ED6C68" w:rsidRPr="00D955C4" w:rsidRDefault="00ED6C68" w:rsidP="000A42D5">
            <w:pPr>
              <w:spacing w:after="0" w:line="240" w:lineRule="auto"/>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Nor</w:t>
            </w:r>
            <w:r w:rsidR="000A42D5" w:rsidRPr="00D955C4">
              <w:rPr>
                <w:rFonts w:ascii="Times New Roman" w:eastAsia="Times New Roman" w:hAnsi="Times New Roman" w:cs="Times New Roman"/>
                <w:sz w:val="24"/>
                <w:szCs w:val="24"/>
              </w:rPr>
              <w:t>th-Wes</w:t>
            </w:r>
            <w:r w:rsidRPr="00D955C4">
              <w:rPr>
                <w:rFonts w:ascii="Times New Roman" w:eastAsia="Times New Roman" w:hAnsi="Times New Roman" w:cs="Times New Roman"/>
                <w:sz w:val="24"/>
                <w:szCs w:val="24"/>
              </w:rPr>
              <w:t>t</w:t>
            </w: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Italian</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13</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7,1</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10,2</w:t>
            </w:r>
          </w:p>
        </w:tc>
      </w:tr>
      <w:tr w:rsidR="00ED6C68" w:rsidRPr="00D955C4" w:rsidTr="00ED6C68">
        <w:trPr>
          <w:trHeight w:val="270"/>
        </w:trPr>
        <w:tc>
          <w:tcPr>
            <w:tcW w:w="2880" w:type="dxa"/>
            <w:vMerge/>
            <w:tcBorders>
              <w:top w:val="nil"/>
              <w:left w:val="single" w:sz="4" w:space="0" w:color="C0C0C0"/>
              <w:bottom w:val="single" w:sz="4" w:space="0" w:color="C0C0C0"/>
              <w:right w:val="single" w:sz="4" w:space="0" w:color="C0C0C0"/>
            </w:tcBorders>
            <w:vAlign w:val="center"/>
            <w:hideMark/>
          </w:tcPr>
          <w:p w:rsidR="00ED6C68" w:rsidRPr="00D955C4" w:rsidRDefault="00ED6C68" w:rsidP="00ED6C68">
            <w:pPr>
              <w:spacing w:after="0" w:line="240" w:lineRule="auto"/>
              <w:rPr>
                <w:rFonts w:ascii="Times New Roman" w:eastAsia="Times New Roman" w:hAnsi="Times New Roman" w:cs="Times New Roman"/>
                <w:sz w:val="24"/>
                <w:szCs w:val="24"/>
              </w:rPr>
            </w:pP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Foreign</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34,8</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30,1</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32,4</w:t>
            </w:r>
          </w:p>
        </w:tc>
      </w:tr>
      <w:tr w:rsidR="00ED6C68" w:rsidRPr="00D955C4" w:rsidTr="00ED6C68">
        <w:trPr>
          <w:trHeight w:val="270"/>
        </w:trPr>
        <w:tc>
          <w:tcPr>
            <w:tcW w:w="2880" w:type="dxa"/>
            <w:vMerge/>
            <w:tcBorders>
              <w:top w:val="nil"/>
              <w:left w:val="single" w:sz="4" w:space="0" w:color="C0C0C0"/>
              <w:bottom w:val="single" w:sz="4" w:space="0" w:color="C0C0C0"/>
              <w:right w:val="single" w:sz="4" w:space="0" w:color="C0C0C0"/>
            </w:tcBorders>
            <w:vAlign w:val="center"/>
            <w:hideMark/>
          </w:tcPr>
          <w:p w:rsidR="00ED6C68" w:rsidRPr="00D955C4" w:rsidRDefault="00ED6C68" w:rsidP="00ED6C68">
            <w:pPr>
              <w:spacing w:after="0" w:line="240" w:lineRule="auto"/>
              <w:rPr>
                <w:rFonts w:ascii="Times New Roman" w:eastAsia="Times New Roman" w:hAnsi="Times New Roman" w:cs="Times New Roman"/>
                <w:sz w:val="24"/>
                <w:szCs w:val="24"/>
              </w:rPr>
            </w:pP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total</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15,7</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10</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12,9</w:t>
            </w:r>
          </w:p>
        </w:tc>
      </w:tr>
      <w:tr w:rsidR="00ED6C68" w:rsidRPr="00D955C4" w:rsidTr="00ED6C68">
        <w:trPr>
          <w:trHeight w:val="270"/>
        </w:trPr>
        <w:tc>
          <w:tcPr>
            <w:tcW w:w="2880" w:type="dxa"/>
            <w:vMerge w:val="restart"/>
            <w:tcBorders>
              <w:top w:val="nil"/>
              <w:left w:val="single" w:sz="4" w:space="0" w:color="C0C0C0"/>
              <w:bottom w:val="single" w:sz="4" w:space="0" w:color="C0C0C0"/>
              <w:right w:val="single" w:sz="4" w:space="0" w:color="C0C0C0"/>
            </w:tcBorders>
            <w:shd w:val="clear" w:color="000000" w:fill="C4D8ED"/>
            <w:hideMark/>
          </w:tcPr>
          <w:p w:rsidR="00ED6C68" w:rsidRPr="00D955C4" w:rsidRDefault="00ED6C68" w:rsidP="000A42D5">
            <w:pPr>
              <w:spacing w:after="0" w:line="240" w:lineRule="auto"/>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Nor</w:t>
            </w:r>
            <w:r w:rsidR="000A42D5" w:rsidRPr="00D955C4">
              <w:rPr>
                <w:rFonts w:ascii="Times New Roman" w:eastAsia="Times New Roman" w:hAnsi="Times New Roman" w:cs="Times New Roman"/>
                <w:sz w:val="24"/>
                <w:szCs w:val="24"/>
              </w:rPr>
              <w:t>th</w:t>
            </w:r>
            <w:r w:rsidRPr="00D955C4">
              <w:rPr>
                <w:rFonts w:ascii="Times New Roman" w:eastAsia="Times New Roman" w:hAnsi="Times New Roman" w:cs="Times New Roman"/>
                <w:sz w:val="24"/>
                <w:szCs w:val="24"/>
              </w:rPr>
              <w:t>-</w:t>
            </w:r>
            <w:r w:rsidR="000A42D5" w:rsidRPr="00D955C4">
              <w:rPr>
                <w:rFonts w:ascii="Times New Roman" w:eastAsia="Times New Roman" w:hAnsi="Times New Roman" w:cs="Times New Roman"/>
                <w:sz w:val="24"/>
                <w:szCs w:val="24"/>
              </w:rPr>
              <w:t>East</w:t>
            </w: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Italian</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9,5</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5,8</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7,7</w:t>
            </w:r>
          </w:p>
        </w:tc>
      </w:tr>
      <w:tr w:rsidR="00ED6C68" w:rsidRPr="00D955C4" w:rsidTr="00ED6C68">
        <w:trPr>
          <w:trHeight w:val="270"/>
        </w:trPr>
        <w:tc>
          <w:tcPr>
            <w:tcW w:w="2880" w:type="dxa"/>
            <w:vMerge/>
            <w:tcBorders>
              <w:top w:val="nil"/>
              <w:left w:val="single" w:sz="4" w:space="0" w:color="C0C0C0"/>
              <w:bottom w:val="single" w:sz="4" w:space="0" w:color="C0C0C0"/>
              <w:right w:val="single" w:sz="4" w:space="0" w:color="C0C0C0"/>
            </w:tcBorders>
            <w:vAlign w:val="center"/>
            <w:hideMark/>
          </w:tcPr>
          <w:p w:rsidR="00ED6C68" w:rsidRPr="00D955C4" w:rsidRDefault="00ED6C68" w:rsidP="00ED6C68">
            <w:pPr>
              <w:spacing w:after="0" w:line="240" w:lineRule="auto"/>
              <w:rPr>
                <w:rFonts w:ascii="Times New Roman" w:eastAsia="Times New Roman" w:hAnsi="Times New Roman" w:cs="Times New Roman"/>
                <w:sz w:val="24"/>
                <w:szCs w:val="24"/>
              </w:rPr>
            </w:pP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Foreign</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29,7</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25,1</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27,4</w:t>
            </w:r>
          </w:p>
        </w:tc>
      </w:tr>
      <w:tr w:rsidR="00ED6C68" w:rsidRPr="00D955C4" w:rsidTr="00ED6C68">
        <w:trPr>
          <w:trHeight w:val="270"/>
        </w:trPr>
        <w:tc>
          <w:tcPr>
            <w:tcW w:w="2880" w:type="dxa"/>
            <w:vMerge/>
            <w:tcBorders>
              <w:top w:val="nil"/>
              <w:left w:val="single" w:sz="4" w:space="0" w:color="C0C0C0"/>
              <w:bottom w:val="single" w:sz="4" w:space="0" w:color="C0C0C0"/>
              <w:right w:val="single" w:sz="4" w:space="0" w:color="C0C0C0"/>
            </w:tcBorders>
            <w:vAlign w:val="center"/>
            <w:hideMark/>
          </w:tcPr>
          <w:p w:rsidR="00ED6C68" w:rsidRPr="00D955C4" w:rsidRDefault="00ED6C68" w:rsidP="00ED6C68">
            <w:pPr>
              <w:spacing w:after="0" w:line="240" w:lineRule="auto"/>
              <w:rPr>
                <w:rFonts w:ascii="Times New Roman" w:eastAsia="Times New Roman" w:hAnsi="Times New Roman" w:cs="Times New Roman"/>
                <w:sz w:val="24"/>
                <w:szCs w:val="24"/>
              </w:rPr>
            </w:pP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total</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12,4</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8,8</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10,6</w:t>
            </w:r>
          </w:p>
        </w:tc>
      </w:tr>
      <w:tr w:rsidR="00ED6C68" w:rsidRPr="00D955C4" w:rsidTr="00ED6C68">
        <w:trPr>
          <w:trHeight w:val="270"/>
        </w:trPr>
        <w:tc>
          <w:tcPr>
            <w:tcW w:w="2880" w:type="dxa"/>
            <w:vMerge w:val="restart"/>
            <w:tcBorders>
              <w:top w:val="nil"/>
              <w:left w:val="single" w:sz="4" w:space="0" w:color="C0C0C0"/>
              <w:bottom w:val="single" w:sz="4" w:space="0" w:color="C0C0C0"/>
              <w:right w:val="single" w:sz="4" w:space="0" w:color="C0C0C0"/>
            </w:tcBorders>
            <w:shd w:val="clear" w:color="000000" w:fill="C4D8ED"/>
            <w:hideMark/>
          </w:tcPr>
          <w:p w:rsidR="00ED6C68" w:rsidRPr="00D955C4" w:rsidRDefault="00ED6C68" w:rsidP="000A42D5">
            <w:pPr>
              <w:spacing w:after="0" w:line="240" w:lineRule="auto"/>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Centr</w:t>
            </w:r>
            <w:r w:rsidR="000A42D5" w:rsidRPr="00D955C4">
              <w:rPr>
                <w:rFonts w:ascii="Times New Roman" w:eastAsia="Times New Roman" w:hAnsi="Times New Roman" w:cs="Times New Roman"/>
                <w:sz w:val="24"/>
                <w:szCs w:val="24"/>
              </w:rPr>
              <w:t>e</w:t>
            </w: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Italian</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10,5</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6,5</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8,6</w:t>
            </w:r>
          </w:p>
        </w:tc>
      </w:tr>
      <w:tr w:rsidR="00ED6C68" w:rsidRPr="00D955C4" w:rsidTr="00ED6C68">
        <w:trPr>
          <w:trHeight w:val="270"/>
        </w:trPr>
        <w:tc>
          <w:tcPr>
            <w:tcW w:w="2880" w:type="dxa"/>
            <w:vMerge/>
            <w:tcBorders>
              <w:top w:val="nil"/>
              <w:left w:val="single" w:sz="4" w:space="0" w:color="C0C0C0"/>
              <w:bottom w:val="single" w:sz="4" w:space="0" w:color="C0C0C0"/>
              <w:right w:val="single" w:sz="4" w:space="0" w:color="C0C0C0"/>
            </w:tcBorders>
            <w:vAlign w:val="center"/>
            <w:hideMark/>
          </w:tcPr>
          <w:p w:rsidR="00ED6C68" w:rsidRPr="00D955C4" w:rsidRDefault="00ED6C68" w:rsidP="00ED6C68">
            <w:pPr>
              <w:spacing w:after="0" w:line="240" w:lineRule="auto"/>
              <w:rPr>
                <w:rFonts w:ascii="Times New Roman" w:eastAsia="Times New Roman" w:hAnsi="Times New Roman" w:cs="Times New Roman"/>
                <w:sz w:val="24"/>
                <w:szCs w:val="24"/>
              </w:rPr>
            </w:pP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Foreign</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38,6</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39</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38,8</w:t>
            </w:r>
          </w:p>
        </w:tc>
      </w:tr>
      <w:tr w:rsidR="00ED6C68" w:rsidRPr="00D955C4" w:rsidTr="00ED6C68">
        <w:trPr>
          <w:trHeight w:val="270"/>
        </w:trPr>
        <w:tc>
          <w:tcPr>
            <w:tcW w:w="2880" w:type="dxa"/>
            <w:vMerge/>
            <w:tcBorders>
              <w:top w:val="nil"/>
              <w:left w:val="single" w:sz="4" w:space="0" w:color="C0C0C0"/>
              <w:bottom w:val="single" w:sz="4" w:space="0" w:color="C0C0C0"/>
              <w:right w:val="single" w:sz="4" w:space="0" w:color="C0C0C0"/>
            </w:tcBorders>
            <w:vAlign w:val="center"/>
            <w:hideMark/>
          </w:tcPr>
          <w:p w:rsidR="00ED6C68" w:rsidRPr="00D955C4" w:rsidRDefault="00ED6C68" w:rsidP="00ED6C68">
            <w:pPr>
              <w:spacing w:after="0" w:line="240" w:lineRule="auto"/>
              <w:rPr>
                <w:rFonts w:ascii="Times New Roman" w:eastAsia="Times New Roman" w:hAnsi="Times New Roman" w:cs="Times New Roman"/>
                <w:sz w:val="24"/>
                <w:szCs w:val="24"/>
              </w:rPr>
            </w:pP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total</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14,1</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10,7</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12,4</w:t>
            </w:r>
          </w:p>
        </w:tc>
      </w:tr>
      <w:tr w:rsidR="00ED6C68" w:rsidRPr="00D955C4" w:rsidTr="00ED6C68">
        <w:trPr>
          <w:trHeight w:val="270"/>
        </w:trPr>
        <w:tc>
          <w:tcPr>
            <w:tcW w:w="2880" w:type="dxa"/>
            <w:vMerge w:val="restart"/>
            <w:tcBorders>
              <w:top w:val="nil"/>
              <w:left w:val="single" w:sz="4" w:space="0" w:color="C0C0C0"/>
              <w:bottom w:val="single" w:sz="4" w:space="0" w:color="C0C0C0"/>
              <w:right w:val="single" w:sz="4" w:space="0" w:color="C0C0C0"/>
            </w:tcBorders>
            <w:shd w:val="clear" w:color="000000" w:fill="C4D8ED"/>
            <w:hideMark/>
          </w:tcPr>
          <w:p w:rsidR="00ED6C68" w:rsidRPr="00D955C4" w:rsidRDefault="000A42D5" w:rsidP="000A42D5">
            <w:pPr>
              <w:spacing w:after="0" w:line="240" w:lineRule="auto"/>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South</w:t>
            </w: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Italian</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21,8</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15</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18,5</w:t>
            </w:r>
          </w:p>
        </w:tc>
      </w:tr>
      <w:tr w:rsidR="00ED6C68" w:rsidRPr="00D955C4" w:rsidTr="00ED6C68">
        <w:trPr>
          <w:trHeight w:val="270"/>
        </w:trPr>
        <w:tc>
          <w:tcPr>
            <w:tcW w:w="2880" w:type="dxa"/>
            <w:vMerge/>
            <w:tcBorders>
              <w:top w:val="nil"/>
              <w:left w:val="single" w:sz="4" w:space="0" w:color="C0C0C0"/>
              <w:bottom w:val="single" w:sz="4" w:space="0" w:color="C0C0C0"/>
              <w:right w:val="single" w:sz="4" w:space="0" w:color="C0C0C0"/>
            </w:tcBorders>
            <w:vAlign w:val="center"/>
            <w:hideMark/>
          </w:tcPr>
          <w:p w:rsidR="00ED6C68" w:rsidRPr="00D955C4" w:rsidRDefault="00ED6C68" w:rsidP="00ED6C68">
            <w:pPr>
              <w:spacing w:after="0" w:line="240" w:lineRule="auto"/>
              <w:rPr>
                <w:rFonts w:ascii="Times New Roman" w:eastAsia="Times New Roman" w:hAnsi="Times New Roman" w:cs="Times New Roman"/>
                <w:sz w:val="24"/>
                <w:szCs w:val="24"/>
              </w:rPr>
            </w:pP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Foreign</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57</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43,2</w:t>
            </w:r>
          </w:p>
        </w:tc>
        <w:tc>
          <w:tcPr>
            <w:tcW w:w="960" w:type="dxa"/>
            <w:tcBorders>
              <w:top w:val="nil"/>
              <w:left w:val="nil"/>
              <w:bottom w:val="single" w:sz="4" w:space="0" w:color="C0C0C0"/>
              <w:right w:val="single" w:sz="4" w:space="0" w:color="C0C0C0"/>
            </w:tcBorders>
            <w:shd w:val="clear" w:color="auto" w:fill="auto"/>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50,9</w:t>
            </w:r>
          </w:p>
        </w:tc>
      </w:tr>
      <w:tr w:rsidR="00ED6C68" w:rsidRPr="00D955C4" w:rsidTr="00ED6C68">
        <w:trPr>
          <w:trHeight w:val="270"/>
        </w:trPr>
        <w:tc>
          <w:tcPr>
            <w:tcW w:w="2880" w:type="dxa"/>
            <w:vMerge/>
            <w:tcBorders>
              <w:top w:val="nil"/>
              <w:left w:val="single" w:sz="4" w:space="0" w:color="C0C0C0"/>
              <w:bottom w:val="single" w:sz="4" w:space="0" w:color="C0C0C0"/>
              <w:right w:val="single" w:sz="4" w:space="0" w:color="C0C0C0"/>
            </w:tcBorders>
            <w:vAlign w:val="center"/>
            <w:hideMark/>
          </w:tcPr>
          <w:p w:rsidR="00ED6C68" w:rsidRPr="00D955C4" w:rsidRDefault="00ED6C68" w:rsidP="00ED6C68">
            <w:pPr>
              <w:spacing w:after="0" w:line="240" w:lineRule="auto"/>
              <w:rPr>
                <w:rFonts w:ascii="Times New Roman" w:eastAsia="Times New Roman" w:hAnsi="Times New Roman" w:cs="Times New Roman"/>
                <w:sz w:val="24"/>
                <w:szCs w:val="24"/>
              </w:rPr>
            </w:pPr>
          </w:p>
        </w:tc>
        <w:tc>
          <w:tcPr>
            <w:tcW w:w="2880" w:type="dxa"/>
            <w:tcBorders>
              <w:top w:val="nil"/>
              <w:left w:val="nil"/>
              <w:bottom w:val="single" w:sz="4" w:space="0" w:color="C0C0C0"/>
              <w:right w:val="single" w:sz="4" w:space="0" w:color="C0C0C0"/>
            </w:tcBorders>
            <w:shd w:val="clear" w:color="000000" w:fill="C4D8ED"/>
            <w:hideMark/>
          </w:tcPr>
          <w:p w:rsidR="00ED6C68" w:rsidRPr="00D955C4" w:rsidRDefault="000A42D5" w:rsidP="00ED6C68">
            <w:pPr>
              <w:spacing w:after="0" w:line="240" w:lineRule="auto"/>
              <w:rPr>
                <w:rFonts w:ascii="Times New Roman" w:eastAsia="Times New Roman" w:hAnsi="Times New Roman" w:cs="Times New Roman"/>
                <w:sz w:val="24"/>
                <w:szCs w:val="24"/>
                <w:lang w:val="en-US"/>
              </w:rPr>
            </w:pPr>
            <w:r w:rsidRPr="00D955C4">
              <w:rPr>
                <w:rFonts w:ascii="Times New Roman" w:eastAsia="Times New Roman" w:hAnsi="Times New Roman" w:cs="Times New Roman"/>
                <w:sz w:val="24"/>
                <w:szCs w:val="24"/>
                <w:lang w:val="en-US"/>
              </w:rPr>
              <w:t>total</w:t>
            </w:r>
          </w:p>
        </w:tc>
        <w:tc>
          <w:tcPr>
            <w:tcW w:w="260" w:type="dxa"/>
            <w:tcBorders>
              <w:top w:val="nil"/>
              <w:left w:val="nil"/>
              <w:bottom w:val="single" w:sz="4" w:space="0" w:color="C0C0C0"/>
              <w:right w:val="single" w:sz="4" w:space="0" w:color="C0C0C0"/>
            </w:tcBorders>
            <w:shd w:val="pct50" w:color="C0C0C0" w:fill="FFFFFF"/>
            <w:noWrap/>
            <w:vAlign w:val="bottom"/>
            <w:hideMark/>
          </w:tcPr>
          <w:p w:rsidR="00ED6C68" w:rsidRPr="00D955C4" w:rsidRDefault="00ED6C68" w:rsidP="00ED6C68">
            <w:pPr>
              <w:spacing w:after="0" w:line="240" w:lineRule="auto"/>
              <w:jc w:val="center"/>
              <w:rPr>
                <w:rFonts w:ascii="Times New Roman" w:eastAsia="Times New Roman" w:hAnsi="Times New Roman" w:cs="Times New Roman"/>
                <w:b/>
                <w:bCs/>
                <w:color w:val="FF0000"/>
                <w:sz w:val="24"/>
                <w:szCs w:val="24"/>
              </w:rPr>
            </w:pPr>
            <w:r w:rsidRPr="00D955C4">
              <w:rPr>
                <w:rFonts w:ascii="Times New Roman" w:eastAsia="Times New Roman" w:hAnsi="Times New Roman" w:cs="Times New Roman"/>
                <w:b/>
                <w:bCs/>
                <w:color w:val="FF0000"/>
                <w:sz w:val="24"/>
                <w:szCs w:val="24"/>
              </w:rPr>
              <w:t> </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22,8</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15,7</w:t>
            </w:r>
          </w:p>
        </w:tc>
        <w:tc>
          <w:tcPr>
            <w:tcW w:w="960" w:type="dxa"/>
            <w:tcBorders>
              <w:top w:val="nil"/>
              <w:left w:val="nil"/>
              <w:bottom w:val="single" w:sz="4" w:space="0" w:color="C0C0C0"/>
              <w:right w:val="single" w:sz="4" w:space="0" w:color="C0C0C0"/>
            </w:tcBorders>
            <w:shd w:val="clear" w:color="000000" w:fill="F0F8FF"/>
            <w:noWrap/>
            <w:vAlign w:val="bottom"/>
            <w:hideMark/>
          </w:tcPr>
          <w:p w:rsidR="00ED6C68" w:rsidRPr="00D955C4" w:rsidRDefault="00ED6C68" w:rsidP="00ED6C68">
            <w:pPr>
              <w:spacing w:after="0" w:line="240" w:lineRule="auto"/>
              <w:jc w:val="right"/>
              <w:rPr>
                <w:rFonts w:ascii="Times New Roman" w:eastAsia="Times New Roman" w:hAnsi="Times New Roman" w:cs="Times New Roman"/>
                <w:sz w:val="24"/>
                <w:szCs w:val="24"/>
              </w:rPr>
            </w:pPr>
            <w:r w:rsidRPr="00D955C4">
              <w:rPr>
                <w:rFonts w:ascii="Times New Roman" w:eastAsia="Times New Roman" w:hAnsi="Times New Roman" w:cs="Times New Roman"/>
                <w:sz w:val="24"/>
                <w:szCs w:val="24"/>
              </w:rPr>
              <w:t>19,4</w:t>
            </w:r>
          </w:p>
        </w:tc>
      </w:tr>
    </w:tbl>
    <w:p w:rsidR="00ED6C68" w:rsidRDefault="000A42D5" w:rsidP="00814984">
      <w:pPr>
        <w:pStyle w:val="Normale1"/>
        <w:spacing w:after="0" w:line="240" w:lineRule="auto"/>
        <w:rPr>
          <w:rFonts w:ascii="Times New Roman" w:hAnsi="Times New Roman" w:cs="Times New Roman"/>
          <w:sz w:val="24"/>
          <w:szCs w:val="24"/>
          <w:lang w:val="en-US"/>
        </w:rPr>
      </w:pPr>
      <w:r w:rsidRPr="000A42D5">
        <w:rPr>
          <w:rFonts w:ascii="Times New Roman" w:hAnsi="Times New Roman" w:cs="Times New Roman"/>
          <w:i/>
          <w:sz w:val="24"/>
          <w:szCs w:val="24"/>
          <w:lang w:val="en-US"/>
        </w:rPr>
        <w:t>Source</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Istat</w:t>
      </w:r>
      <w:proofErr w:type="spellEnd"/>
      <w:r>
        <w:rPr>
          <w:rFonts w:ascii="Times New Roman" w:hAnsi="Times New Roman" w:cs="Times New Roman"/>
          <w:sz w:val="24"/>
          <w:szCs w:val="24"/>
          <w:lang w:val="en-US"/>
        </w:rPr>
        <w:t xml:space="preserve"> (2016</w:t>
      </w:r>
      <w:r w:rsidR="00BF33BF">
        <w:rPr>
          <w:rFonts w:ascii="Times New Roman" w:hAnsi="Times New Roman" w:cs="Times New Roman"/>
          <w:sz w:val="24"/>
          <w:szCs w:val="24"/>
          <w:lang w:val="en-US"/>
        </w:rPr>
        <w:t>a</w:t>
      </w:r>
      <w:r>
        <w:rPr>
          <w:rFonts w:ascii="Times New Roman" w:hAnsi="Times New Roman" w:cs="Times New Roman"/>
          <w:sz w:val="24"/>
          <w:szCs w:val="24"/>
          <w:lang w:val="en-US"/>
        </w:rPr>
        <w:t>)</w:t>
      </w:r>
      <w:r w:rsidR="00892FE4">
        <w:rPr>
          <w:rFonts w:ascii="Times New Roman" w:hAnsi="Times New Roman" w:cs="Times New Roman"/>
          <w:sz w:val="24"/>
          <w:szCs w:val="24"/>
          <w:lang w:val="en-US"/>
        </w:rPr>
        <w:t>.</w:t>
      </w:r>
    </w:p>
    <w:p w:rsidR="00ED6C68" w:rsidRDefault="00ED6C68" w:rsidP="00814984">
      <w:pPr>
        <w:pStyle w:val="Normale1"/>
        <w:spacing w:after="0" w:line="240" w:lineRule="auto"/>
        <w:rPr>
          <w:rFonts w:ascii="Times New Roman" w:hAnsi="Times New Roman" w:cs="Times New Roman"/>
          <w:sz w:val="24"/>
          <w:szCs w:val="24"/>
          <w:lang w:val="en-US"/>
        </w:rPr>
      </w:pPr>
    </w:p>
    <w:p w:rsidR="00ED6C68" w:rsidRPr="00C11B7A" w:rsidRDefault="00ED6C68" w:rsidP="00ED6C68">
      <w:pPr>
        <w:spacing w:after="0" w:line="240" w:lineRule="auto"/>
        <w:jc w:val="both"/>
        <w:rPr>
          <w:rFonts w:ascii="Times New Roman" w:eastAsia="Calibri" w:hAnsi="Times New Roman" w:cs="Times New Roman"/>
          <w:sz w:val="24"/>
          <w:szCs w:val="24"/>
          <w:lang w:val="en-US"/>
        </w:rPr>
      </w:pPr>
      <w:r w:rsidRPr="00C11B7A">
        <w:rPr>
          <w:rFonts w:ascii="Times New Roman" w:eastAsia="Calibri" w:hAnsi="Times New Roman" w:cs="Times New Roman"/>
          <w:i/>
          <w:sz w:val="24"/>
          <w:szCs w:val="24"/>
          <w:lang w:val="en-US"/>
        </w:rPr>
        <w:t>Family-related factors</w:t>
      </w:r>
      <w:r w:rsidRPr="00C11B7A">
        <w:rPr>
          <w:rFonts w:ascii="Times New Roman" w:eastAsia="Calibri" w:hAnsi="Times New Roman" w:cs="Times New Roman"/>
          <w:sz w:val="24"/>
          <w:szCs w:val="24"/>
          <w:lang w:val="en-US"/>
        </w:rPr>
        <w:t xml:space="preserve"> influence the chance of leaving the education system early. For example living in a large family or in single-parent family affects the disposable income for family members, the availability of parents (or the only one parent) to support children’ education in terms of economic investments and time to participate in their school life (e.g. help them do homework, meet teachers, make sure they attend school, and so on). </w:t>
      </w:r>
    </w:p>
    <w:p w:rsidR="00ED6C68" w:rsidRPr="00C11B7A" w:rsidRDefault="00ED6C68" w:rsidP="00ED6C68">
      <w:pPr>
        <w:spacing w:after="0" w:line="240" w:lineRule="auto"/>
        <w:jc w:val="both"/>
        <w:rPr>
          <w:rFonts w:ascii="Times New Roman" w:eastAsia="Calibri" w:hAnsi="Times New Roman" w:cs="Times New Roman"/>
          <w:sz w:val="24"/>
          <w:szCs w:val="24"/>
          <w:lang w:val="en-US"/>
        </w:rPr>
      </w:pPr>
      <w:r w:rsidRPr="00C11B7A">
        <w:rPr>
          <w:rFonts w:ascii="Times New Roman" w:eastAsia="Calibri" w:hAnsi="Times New Roman" w:cs="Times New Roman"/>
          <w:sz w:val="24"/>
          <w:szCs w:val="24"/>
          <w:lang w:val="en-US"/>
        </w:rPr>
        <w:t xml:space="preserve">In addition to individual and family factors, the </w:t>
      </w:r>
      <w:r w:rsidRPr="00E971F1">
        <w:rPr>
          <w:rFonts w:ascii="Times New Roman" w:eastAsia="Calibri" w:hAnsi="Times New Roman" w:cs="Times New Roman"/>
          <w:sz w:val="24"/>
          <w:szCs w:val="24"/>
          <w:lang w:val="en-US"/>
        </w:rPr>
        <w:t xml:space="preserve">chance </w:t>
      </w:r>
      <w:r w:rsidRPr="00C11B7A">
        <w:rPr>
          <w:rFonts w:ascii="Times New Roman" w:eastAsia="Calibri" w:hAnsi="Times New Roman" w:cs="Times New Roman"/>
          <w:sz w:val="24"/>
          <w:szCs w:val="24"/>
          <w:lang w:val="en-US"/>
        </w:rPr>
        <w:t xml:space="preserve">to leave school early in Italy is associated to the </w:t>
      </w:r>
      <w:r w:rsidRPr="00C11B7A">
        <w:rPr>
          <w:rFonts w:ascii="Times New Roman" w:eastAsia="Calibri" w:hAnsi="Times New Roman" w:cs="Times New Roman"/>
          <w:i/>
          <w:sz w:val="24"/>
          <w:szCs w:val="24"/>
          <w:lang w:val="en-US"/>
        </w:rPr>
        <w:t>geographical area</w:t>
      </w:r>
      <w:r w:rsidRPr="00C11B7A">
        <w:rPr>
          <w:rFonts w:ascii="Times New Roman" w:eastAsia="Calibri" w:hAnsi="Times New Roman" w:cs="Times New Roman"/>
          <w:sz w:val="24"/>
          <w:szCs w:val="24"/>
          <w:lang w:val="en-US"/>
        </w:rPr>
        <w:t xml:space="preserve"> where students live. In most regions, particularly in the South of Italy and Islands</w:t>
      </w:r>
      <w:r w:rsidRPr="00E971F1">
        <w:rPr>
          <w:rFonts w:ascii="Times New Roman" w:eastAsia="Calibri" w:hAnsi="Times New Roman" w:cs="Times New Roman"/>
          <w:sz w:val="24"/>
          <w:szCs w:val="24"/>
          <w:lang w:val="en-US"/>
        </w:rPr>
        <w:t>,</w:t>
      </w:r>
      <w:r w:rsidRPr="00C11B7A">
        <w:rPr>
          <w:rFonts w:ascii="Times New Roman" w:eastAsia="Calibri" w:hAnsi="Times New Roman" w:cs="Times New Roman"/>
          <w:sz w:val="24"/>
          <w:szCs w:val="24"/>
          <w:lang w:val="en-US"/>
        </w:rPr>
        <w:t xml:space="preserve"> the rates of ESL are very high and far from the target of 10% proposed by the 2030</w:t>
      </w:r>
      <w:r w:rsidRPr="00E971F1">
        <w:rPr>
          <w:rFonts w:ascii="Times New Roman" w:eastAsia="Calibri" w:hAnsi="Times New Roman" w:cs="Times New Roman"/>
          <w:sz w:val="24"/>
          <w:szCs w:val="24"/>
          <w:lang w:val="en-US"/>
        </w:rPr>
        <w:t xml:space="preserve"> </w:t>
      </w:r>
      <w:r w:rsidRPr="00C11B7A">
        <w:rPr>
          <w:rFonts w:ascii="Times New Roman" w:eastAsia="Calibri" w:hAnsi="Times New Roman" w:cs="Times New Roman"/>
          <w:sz w:val="24"/>
          <w:szCs w:val="24"/>
          <w:lang w:val="en-US"/>
        </w:rPr>
        <w:t>Agenda. In Sicil</w:t>
      </w:r>
      <w:r w:rsidR="006202C7">
        <w:rPr>
          <w:rFonts w:ascii="Times New Roman" w:eastAsia="Calibri" w:hAnsi="Times New Roman" w:cs="Times New Roman"/>
          <w:sz w:val="24"/>
          <w:szCs w:val="24"/>
          <w:lang w:val="en-US"/>
        </w:rPr>
        <w:t xml:space="preserve">y </w:t>
      </w:r>
      <w:r w:rsidRPr="00C11B7A">
        <w:rPr>
          <w:rFonts w:ascii="Times New Roman" w:eastAsia="Calibri" w:hAnsi="Times New Roman" w:cs="Times New Roman"/>
          <w:sz w:val="24"/>
          <w:szCs w:val="24"/>
          <w:lang w:val="en-US"/>
        </w:rPr>
        <w:t>and Sard</w:t>
      </w:r>
      <w:r w:rsidR="006202C7">
        <w:rPr>
          <w:rFonts w:ascii="Times New Roman" w:eastAsia="Calibri" w:hAnsi="Times New Roman" w:cs="Times New Roman"/>
          <w:sz w:val="24"/>
          <w:szCs w:val="24"/>
          <w:lang w:val="en-US"/>
        </w:rPr>
        <w:t xml:space="preserve">inia </w:t>
      </w:r>
      <w:r w:rsidRPr="00C11B7A">
        <w:rPr>
          <w:rFonts w:ascii="Times New Roman" w:eastAsia="Calibri" w:hAnsi="Times New Roman" w:cs="Times New Roman"/>
          <w:sz w:val="24"/>
          <w:szCs w:val="24"/>
          <w:lang w:val="en-US"/>
        </w:rPr>
        <w:t xml:space="preserve">one young person out of four does not complete any study/training after the lower-secondary school, in Campania and Puglia the rates are respectively </w:t>
      </w:r>
      <w:r w:rsidR="00BF33BF">
        <w:rPr>
          <w:rFonts w:ascii="Times New Roman" w:eastAsia="Calibri" w:hAnsi="Times New Roman" w:cs="Times New Roman"/>
          <w:sz w:val="24"/>
          <w:szCs w:val="24"/>
          <w:lang w:val="en-US"/>
        </w:rPr>
        <w:t>18,8</w:t>
      </w:r>
      <w:r w:rsidRPr="00C11B7A">
        <w:rPr>
          <w:rFonts w:ascii="Times New Roman" w:eastAsia="Calibri" w:hAnsi="Times New Roman" w:cs="Times New Roman"/>
          <w:sz w:val="24"/>
          <w:szCs w:val="24"/>
          <w:lang w:val="en-US"/>
        </w:rPr>
        <w:t>% and 16,</w:t>
      </w:r>
      <w:r w:rsidR="00BF33BF">
        <w:rPr>
          <w:rFonts w:ascii="Times New Roman" w:eastAsia="Calibri" w:hAnsi="Times New Roman" w:cs="Times New Roman"/>
          <w:sz w:val="24"/>
          <w:szCs w:val="24"/>
          <w:lang w:val="en-US"/>
        </w:rPr>
        <w:t>7</w:t>
      </w:r>
      <w:r w:rsidRPr="00C11B7A">
        <w:rPr>
          <w:rFonts w:ascii="Times New Roman" w:eastAsia="Calibri" w:hAnsi="Times New Roman" w:cs="Times New Roman"/>
          <w:sz w:val="24"/>
          <w:szCs w:val="24"/>
          <w:lang w:val="en-US"/>
        </w:rPr>
        <w:t>%. The phenomenon is also present in regions situated in the North of Italy (e.g. in Valle d’Aos</w:t>
      </w:r>
      <w:r w:rsidR="00BF33BF">
        <w:rPr>
          <w:rFonts w:ascii="Times New Roman" w:eastAsia="Calibri" w:hAnsi="Times New Roman" w:cs="Times New Roman"/>
          <w:sz w:val="24"/>
          <w:szCs w:val="24"/>
          <w:lang w:val="en-US"/>
        </w:rPr>
        <w:t>ta the percentage of ESL is 16,3</w:t>
      </w:r>
      <w:r w:rsidRPr="00C11B7A">
        <w:rPr>
          <w:rFonts w:ascii="Times New Roman" w:eastAsia="Calibri" w:hAnsi="Times New Roman" w:cs="Times New Roman"/>
          <w:sz w:val="24"/>
          <w:szCs w:val="24"/>
          <w:lang w:val="en-US"/>
        </w:rPr>
        <w:t xml:space="preserve">%) but the progress in reducing rates has been greater here than in the South of Italy </w:t>
      </w:r>
      <w:r w:rsidRPr="00BF33BF">
        <w:rPr>
          <w:rFonts w:ascii="Times New Roman" w:eastAsia="Calibri" w:hAnsi="Times New Roman" w:cs="Times New Roman"/>
          <w:sz w:val="24"/>
          <w:szCs w:val="24"/>
          <w:lang w:val="en-US"/>
        </w:rPr>
        <w:t>(</w:t>
      </w:r>
      <w:r w:rsidR="00892FE4" w:rsidRPr="00BF33BF">
        <w:rPr>
          <w:rFonts w:ascii="Times New Roman" w:eastAsia="Calibri" w:hAnsi="Times New Roman" w:cs="Times New Roman"/>
          <w:sz w:val="24"/>
          <w:szCs w:val="24"/>
          <w:lang w:val="en-US"/>
        </w:rPr>
        <w:t>Bes</w:t>
      </w:r>
      <w:r w:rsidRPr="00BF33BF">
        <w:rPr>
          <w:rFonts w:ascii="Times New Roman" w:eastAsia="Calibri" w:hAnsi="Times New Roman" w:cs="Times New Roman"/>
          <w:sz w:val="24"/>
          <w:szCs w:val="24"/>
          <w:lang w:val="en-US"/>
        </w:rPr>
        <w:t>, 2016). The</w:t>
      </w:r>
      <w:r w:rsidRPr="00C11B7A">
        <w:rPr>
          <w:rFonts w:ascii="Times New Roman" w:eastAsia="Calibri" w:hAnsi="Times New Roman" w:cs="Times New Roman"/>
          <w:sz w:val="24"/>
          <w:szCs w:val="24"/>
          <w:lang w:val="en-US"/>
        </w:rPr>
        <w:t xml:space="preserve"> Southern regions and Islands are the most deprived areas in Italy, which mostly suffered the economic crisis: in 2015 the </w:t>
      </w:r>
      <w:r w:rsidRPr="00C11B7A">
        <w:rPr>
          <w:rFonts w:ascii="Times New Roman" w:eastAsia="Calibri" w:hAnsi="Times New Roman" w:cs="Times New Roman"/>
          <w:sz w:val="24"/>
          <w:szCs w:val="24"/>
          <w:lang w:val="en-US"/>
        </w:rPr>
        <w:lastRenderedPageBreak/>
        <w:t>incident rate of absolute poverty for families is 9% in the South, 4,2% in the Centre and 5% in the North; the incident rate of relative poverty for families is 20,4% in the South, 6,5% in the Centre, and 5,4% in the North (</w:t>
      </w:r>
      <w:proofErr w:type="spellStart"/>
      <w:r w:rsidRPr="00C11B7A">
        <w:rPr>
          <w:rFonts w:ascii="Times New Roman" w:eastAsia="Calibri" w:hAnsi="Times New Roman" w:cs="Times New Roman"/>
          <w:sz w:val="24"/>
          <w:szCs w:val="24"/>
          <w:lang w:val="en-US"/>
        </w:rPr>
        <w:t>Istat</w:t>
      </w:r>
      <w:proofErr w:type="spellEnd"/>
      <w:r w:rsidRPr="00C11B7A">
        <w:rPr>
          <w:rFonts w:ascii="Times New Roman" w:eastAsia="Calibri" w:hAnsi="Times New Roman" w:cs="Times New Roman"/>
          <w:sz w:val="24"/>
          <w:szCs w:val="24"/>
          <w:lang w:val="en-US"/>
        </w:rPr>
        <w:t>, 2016</w:t>
      </w:r>
      <w:r w:rsidR="00BF33BF">
        <w:rPr>
          <w:rFonts w:ascii="Times New Roman" w:eastAsia="Calibri" w:hAnsi="Times New Roman" w:cs="Times New Roman"/>
          <w:sz w:val="24"/>
          <w:szCs w:val="24"/>
          <w:lang w:val="en-US"/>
        </w:rPr>
        <w:t>b</w:t>
      </w:r>
      <w:r w:rsidRPr="00C11B7A">
        <w:rPr>
          <w:rFonts w:ascii="Times New Roman" w:eastAsia="Calibri" w:hAnsi="Times New Roman" w:cs="Times New Roman"/>
          <w:sz w:val="24"/>
          <w:szCs w:val="24"/>
          <w:lang w:val="en-US"/>
        </w:rPr>
        <w:t>).</w:t>
      </w:r>
    </w:p>
    <w:p w:rsidR="00ED6C68" w:rsidRDefault="00ED6C68" w:rsidP="00814984">
      <w:pPr>
        <w:pStyle w:val="Normale1"/>
        <w:spacing w:after="0" w:line="240" w:lineRule="auto"/>
        <w:rPr>
          <w:rFonts w:ascii="Times New Roman" w:hAnsi="Times New Roman" w:cs="Times New Roman"/>
          <w:sz w:val="24"/>
          <w:szCs w:val="24"/>
          <w:lang w:val="en-US"/>
        </w:rPr>
      </w:pPr>
    </w:p>
    <w:p w:rsidR="00ED6C68" w:rsidRDefault="00ED6C68" w:rsidP="00814984">
      <w:pPr>
        <w:pStyle w:val="Normale1"/>
        <w:spacing w:after="0" w:line="240" w:lineRule="auto"/>
        <w:rPr>
          <w:rFonts w:ascii="Times New Roman" w:hAnsi="Times New Roman" w:cs="Times New Roman"/>
          <w:sz w:val="24"/>
          <w:szCs w:val="24"/>
          <w:lang w:val="en-US"/>
        </w:rPr>
      </w:pPr>
    </w:p>
    <w:p w:rsidR="00ED6C68" w:rsidRDefault="000A42D5" w:rsidP="00814984">
      <w:pPr>
        <w:pStyle w:val="Normale1"/>
        <w:spacing w:after="0" w:line="240" w:lineRule="auto"/>
        <w:rPr>
          <w:rFonts w:ascii="Times New Roman" w:hAnsi="Times New Roman" w:cs="Times New Roman"/>
          <w:b/>
          <w:sz w:val="24"/>
          <w:szCs w:val="24"/>
          <w:lang w:val="en-US"/>
        </w:rPr>
      </w:pPr>
      <w:r w:rsidRPr="006202C7">
        <w:rPr>
          <w:rFonts w:ascii="Times New Roman" w:hAnsi="Times New Roman" w:cs="Times New Roman"/>
          <w:b/>
          <w:sz w:val="24"/>
          <w:szCs w:val="24"/>
          <w:lang w:val="en-US"/>
        </w:rPr>
        <w:t xml:space="preserve">Tab. 2 </w:t>
      </w:r>
      <w:r w:rsidR="006202C7" w:rsidRPr="006202C7">
        <w:rPr>
          <w:rFonts w:ascii="Times New Roman" w:hAnsi="Times New Roman" w:cs="Times New Roman"/>
          <w:b/>
          <w:sz w:val="24"/>
          <w:szCs w:val="24"/>
          <w:lang w:val="en-US"/>
        </w:rPr>
        <w:t>Early school leavers in Italy (18-24 years old), by year and region (percent).</w:t>
      </w:r>
    </w:p>
    <w:p w:rsidR="006202C7" w:rsidRPr="006202C7" w:rsidRDefault="006202C7" w:rsidP="00814984">
      <w:pPr>
        <w:pStyle w:val="Normale1"/>
        <w:spacing w:after="0" w:line="240" w:lineRule="auto"/>
        <w:rPr>
          <w:rFonts w:ascii="Times New Roman" w:hAnsi="Times New Roman" w:cs="Times New Roman"/>
          <w:b/>
          <w:sz w:val="24"/>
          <w:szCs w:val="24"/>
          <w:lang w:val="en-US"/>
        </w:rPr>
      </w:pPr>
    </w:p>
    <w:tbl>
      <w:tblPr>
        <w:tblW w:w="5980" w:type="dxa"/>
        <w:tblInd w:w="55" w:type="dxa"/>
        <w:tblBorders>
          <w:top w:val="single" w:sz="4" w:space="0" w:color="auto"/>
          <w:bottom w:val="single" w:sz="4" w:space="0" w:color="auto"/>
        </w:tblBorders>
        <w:tblCellMar>
          <w:left w:w="70" w:type="dxa"/>
          <w:right w:w="70" w:type="dxa"/>
        </w:tblCellMar>
        <w:tblLook w:val="04A0" w:firstRow="1" w:lastRow="0" w:firstColumn="1" w:lastColumn="0" w:noHBand="0" w:noVBand="1"/>
      </w:tblPr>
      <w:tblGrid>
        <w:gridCol w:w="3100"/>
        <w:gridCol w:w="960"/>
        <w:gridCol w:w="960"/>
        <w:gridCol w:w="960"/>
      </w:tblGrid>
      <w:tr w:rsidR="006202C7" w:rsidRPr="006202C7" w:rsidTr="00F26348">
        <w:trPr>
          <w:trHeight w:val="315"/>
        </w:trPr>
        <w:tc>
          <w:tcPr>
            <w:tcW w:w="3100" w:type="dxa"/>
            <w:tcBorders>
              <w:top w:val="single" w:sz="4" w:space="0" w:color="auto"/>
              <w:bottom w:val="single" w:sz="4" w:space="0" w:color="auto"/>
            </w:tcBorders>
            <w:shd w:val="clear" w:color="auto" w:fill="auto"/>
            <w:noWrap/>
            <w:hideMark/>
          </w:tcPr>
          <w:p w:rsidR="006202C7" w:rsidRPr="00D955C4" w:rsidRDefault="006202C7" w:rsidP="006202C7">
            <w:pPr>
              <w:spacing w:after="0" w:line="240" w:lineRule="auto"/>
              <w:rPr>
                <w:rFonts w:ascii="Times New Roman" w:eastAsia="Times New Roman" w:hAnsi="Times New Roman" w:cs="Times New Roman"/>
                <w:b/>
                <w:bCs/>
                <w:color w:val="000000"/>
                <w:sz w:val="24"/>
                <w:szCs w:val="24"/>
                <w:lang w:val="en-US"/>
              </w:rPr>
            </w:pPr>
            <w:r w:rsidRPr="00D955C4">
              <w:rPr>
                <w:rFonts w:ascii="Times New Roman" w:eastAsia="Times New Roman" w:hAnsi="Times New Roman" w:cs="Times New Roman"/>
                <w:b/>
                <w:bCs/>
                <w:color w:val="000000"/>
                <w:sz w:val="24"/>
                <w:szCs w:val="24"/>
                <w:lang w:val="en-US"/>
              </w:rPr>
              <w:t xml:space="preserve">Regions </w:t>
            </w:r>
          </w:p>
        </w:tc>
        <w:tc>
          <w:tcPr>
            <w:tcW w:w="960" w:type="dxa"/>
            <w:tcBorders>
              <w:top w:val="single" w:sz="4" w:space="0" w:color="auto"/>
              <w:bottom w:val="single" w:sz="4" w:space="0" w:color="auto"/>
            </w:tcBorders>
            <w:shd w:val="clear" w:color="auto" w:fill="auto"/>
            <w:hideMark/>
          </w:tcPr>
          <w:p w:rsidR="006202C7" w:rsidRPr="00D955C4" w:rsidRDefault="006202C7" w:rsidP="006202C7">
            <w:pPr>
              <w:spacing w:after="0" w:line="240" w:lineRule="auto"/>
              <w:jc w:val="right"/>
              <w:rPr>
                <w:rFonts w:ascii="Times New Roman" w:eastAsia="Times New Roman" w:hAnsi="Times New Roman" w:cs="Times New Roman"/>
                <w:b/>
                <w:bCs/>
                <w:color w:val="000000"/>
                <w:sz w:val="24"/>
                <w:szCs w:val="24"/>
                <w:lang w:val="en-US"/>
              </w:rPr>
            </w:pPr>
            <w:r w:rsidRPr="00D955C4">
              <w:rPr>
                <w:rFonts w:ascii="Times New Roman" w:eastAsia="Times New Roman" w:hAnsi="Times New Roman" w:cs="Times New Roman"/>
                <w:b/>
                <w:bCs/>
                <w:color w:val="000000"/>
                <w:sz w:val="24"/>
                <w:szCs w:val="24"/>
                <w:lang w:val="en-US"/>
              </w:rPr>
              <w:t>2004</w:t>
            </w:r>
          </w:p>
        </w:tc>
        <w:tc>
          <w:tcPr>
            <w:tcW w:w="960" w:type="dxa"/>
            <w:tcBorders>
              <w:top w:val="single" w:sz="4" w:space="0" w:color="auto"/>
              <w:bottom w:val="single" w:sz="4" w:space="0" w:color="auto"/>
            </w:tcBorders>
            <w:shd w:val="clear" w:color="auto" w:fill="auto"/>
            <w:noWrap/>
            <w:hideMark/>
          </w:tcPr>
          <w:p w:rsidR="006202C7" w:rsidRPr="00D955C4" w:rsidRDefault="006202C7" w:rsidP="006202C7">
            <w:pPr>
              <w:spacing w:after="0" w:line="240" w:lineRule="auto"/>
              <w:jc w:val="right"/>
              <w:rPr>
                <w:rFonts w:ascii="Times New Roman" w:eastAsia="Times New Roman" w:hAnsi="Times New Roman" w:cs="Times New Roman"/>
                <w:b/>
                <w:bCs/>
                <w:color w:val="000000"/>
                <w:sz w:val="24"/>
                <w:szCs w:val="24"/>
                <w:lang w:val="en-US"/>
              </w:rPr>
            </w:pPr>
            <w:r w:rsidRPr="00D955C4">
              <w:rPr>
                <w:rFonts w:ascii="Times New Roman" w:eastAsia="Times New Roman" w:hAnsi="Times New Roman" w:cs="Times New Roman"/>
                <w:b/>
                <w:bCs/>
                <w:color w:val="000000"/>
                <w:sz w:val="24"/>
                <w:szCs w:val="24"/>
                <w:lang w:val="en-US"/>
              </w:rPr>
              <w:t>2014</w:t>
            </w:r>
          </w:p>
        </w:tc>
        <w:tc>
          <w:tcPr>
            <w:tcW w:w="960" w:type="dxa"/>
            <w:tcBorders>
              <w:top w:val="single" w:sz="4" w:space="0" w:color="auto"/>
              <w:bottom w:val="single" w:sz="4" w:space="0" w:color="auto"/>
            </w:tcBorders>
            <w:shd w:val="clear" w:color="auto" w:fill="auto"/>
            <w:noWrap/>
            <w:hideMark/>
          </w:tcPr>
          <w:p w:rsidR="006202C7" w:rsidRPr="00D955C4" w:rsidRDefault="006202C7" w:rsidP="006202C7">
            <w:pPr>
              <w:spacing w:after="0" w:line="240" w:lineRule="auto"/>
              <w:jc w:val="right"/>
              <w:rPr>
                <w:rFonts w:ascii="Times New Roman" w:eastAsia="Times New Roman" w:hAnsi="Times New Roman" w:cs="Times New Roman"/>
                <w:b/>
                <w:bCs/>
                <w:color w:val="000000"/>
                <w:sz w:val="24"/>
                <w:szCs w:val="24"/>
                <w:lang w:val="en-US"/>
              </w:rPr>
            </w:pPr>
            <w:r w:rsidRPr="00D955C4">
              <w:rPr>
                <w:rFonts w:ascii="Times New Roman" w:eastAsia="Times New Roman" w:hAnsi="Times New Roman" w:cs="Times New Roman"/>
                <w:b/>
                <w:bCs/>
                <w:color w:val="000000"/>
                <w:sz w:val="24"/>
                <w:szCs w:val="24"/>
                <w:lang w:val="en-US"/>
              </w:rPr>
              <w:t>2015</w:t>
            </w:r>
          </w:p>
        </w:tc>
      </w:tr>
      <w:tr w:rsidR="006202C7" w:rsidRPr="006202C7" w:rsidTr="00F26348">
        <w:trPr>
          <w:trHeight w:val="315"/>
        </w:trPr>
        <w:tc>
          <w:tcPr>
            <w:tcW w:w="3100" w:type="dxa"/>
            <w:tcBorders>
              <w:top w:val="single" w:sz="4" w:space="0" w:color="auto"/>
            </w:tcBorders>
            <w:shd w:val="clear" w:color="auto" w:fill="auto"/>
            <w:noWrap/>
            <w:hideMark/>
          </w:tcPr>
          <w:p w:rsidR="006202C7" w:rsidRPr="00D955C4" w:rsidRDefault="006202C7" w:rsidP="006202C7">
            <w:pPr>
              <w:spacing w:after="0" w:line="240" w:lineRule="auto"/>
              <w:rPr>
                <w:rFonts w:ascii="Times New Roman" w:eastAsia="Times New Roman" w:hAnsi="Times New Roman" w:cs="Times New Roman"/>
                <w:b/>
                <w:bCs/>
                <w:color w:val="000000"/>
                <w:sz w:val="24"/>
                <w:szCs w:val="24"/>
                <w:lang w:val="en-US"/>
              </w:rPr>
            </w:pPr>
          </w:p>
        </w:tc>
        <w:tc>
          <w:tcPr>
            <w:tcW w:w="960" w:type="dxa"/>
            <w:tcBorders>
              <w:top w:val="single" w:sz="4" w:space="0" w:color="auto"/>
            </w:tcBorders>
            <w:shd w:val="clear" w:color="auto" w:fill="auto"/>
            <w:hideMark/>
          </w:tcPr>
          <w:p w:rsidR="006202C7" w:rsidRPr="00D955C4" w:rsidRDefault="006202C7" w:rsidP="006202C7">
            <w:pPr>
              <w:spacing w:after="0" w:line="240" w:lineRule="auto"/>
              <w:rPr>
                <w:rFonts w:ascii="Times New Roman" w:eastAsia="Times New Roman" w:hAnsi="Times New Roman" w:cs="Times New Roman"/>
                <w:b/>
                <w:bCs/>
                <w:color w:val="000000"/>
                <w:sz w:val="24"/>
                <w:szCs w:val="24"/>
                <w:lang w:val="en-US"/>
              </w:rPr>
            </w:pPr>
          </w:p>
        </w:tc>
        <w:tc>
          <w:tcPr>
            <w:tcW w:w="960" w:type="dxa"/>
            <w:tcBorders>
              <w:top w:val="single" w:sz="4" w:space="0" w:color="auto"/>
            </w:tcBorders>
            <w:shd w:val="clear" w:color="auto" w:fill="auto"/>
            <w:noWrap/>
            <w:hideMark/>
          </w:tcPr>
          <w:p w:rsidR="006202C7" w:rsidRPr="00D955C4" w:rsidRDefault="006202C7" w:rsidP="006202C7">
            <w:pPr>
              <w:spacing w:after="0" w:line="240" w:lineRule="auto"/>
              <w:rPr>
                <w:rFonts w:ascii="Times New Roman" w:eastAsia="Times New Roman" w:hAnsi="Times New Roman" w:cs="Times New Roman"/>
                <w:b/>
                <w:bCs/>
                <w:color w:val="000000"/>
                <w:sz w:val="24"/>
                <w:szCs w:val="24"/>
                <w:lang w:val="en-US"/>
              </w:rPr>
            </w:pPr>
          </w:p>
        </w:tc>
        <w:tc>
          <w:tcPr>
            <w:tcW w:w="960" w:type="dxa"/>
            <w:tcBorders>
              <w:top w:val="single" w:sz="4" w:space="0" w:color="auto"/>
            </w:tcBorders>
            <w:shd w:val="clear" w:color="auto" w:fill="auto"/>
            <w:noWrap/>
            <w:hideMark/>
          </w:tcPr>
          <w:p w:rsidR="006202C7" w:rsidRPr="00D955C4" w:rsidRDefault="006202C7" w:rsidP="006202C7">
            <w:pPr>
              <w:spacing w:after="0" w:line="240" w:lineRule="auto"/>
              <w:rPr>
                <w:rFonts w:ascii="Times New Roman" w:eastAsia="Times New Roman" w:hAnsi="Times New Roman" w:cs="Times New Roman"/>
                <w:b/>
                <w:bCs/>
                <w:color w:val="000000"/>
                <w:sz w:val="24"/>
                <w:szCs w:val="24"/>
                <w:lang w:val="en-US"/>
              </w:rPr>
            </w:pP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Piedmont</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22,5</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12,7</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12,6</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Valle d'Aosta/</w:t>
            </w:r>
            <w:proofErr w:type="spellStart"/>
            <w:r w:rsidRPr="00D955C4">
              <w:rPr>
                <w:rFonts w:ascii="Times New Roman" w:eastAsia="Times New Roman" w:hAnsi="Times New Roman" w:cs="Times New Roman"/>
                <w:color w:val="000000"/>
                <w:sz w:val="24"/>
                <w:szCs w:val="24"/>
                <w:lang w:val="en-US"/>
              </w:rPr>
              <w:t>Vallée</w:t>
            </w:r>
            <w:proofErr w:type="spellEnd"/>
            <w:r w:rsidRPr="00D955C4">
              <w:rPr>
                <w:rFonts w:ascii="Times New Roman" w:eastAsia="Times New Roman" w:hAnsi="Times New Roman" w:cs="Times New Roman"/>
                <w:color w:val="000000"/>
                <w:sz w:val="24"/>
                <w:szCs w:val="24"/>
                <w:lang w:val="en-US"/>
              </w:rPr>
              <w:t xml:space="preserve"> </w:t>
            </w:r>
            <w:proofErr w:type="spellStart"/>
            <w:r w:rsidRPr="00D955C4">
              <w:rPr>
                <w:rFonts w:ascii="Times New Roman" w:eastAsia="Times New Roman" w:hAnsi="Times New Roman" w:cs="Times New Roman"/>
                <w:color w:val="000000"/>
                <w:sz w:val="24"/>
                <w:szCs w:val="24"/>
                <w:lang w:val="en-US"/>
              </w:rPr>
              <w:t>d'Aoste</w:t>
            </w:r>
            <w:proofErr w:type="spellEnd"/>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21,5</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16,2</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16,3</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Liguria</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17,7</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13,6</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12</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Lombardy</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22,1</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12,9</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13,1</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Trentino-Alto Adige/</w:t>
            </w:r>
            <w:proofErr w:type="spellStart"/>
            <w:r w:rsidRPr="00D955C4">
              <w:rPr>
                <w:rFonts w:ascii="Times New Roman" w:eastAsia="Times New Roman" w:hAnsi="Times New Roman" w:cs="Times New Roman"/>
                <w:color w:val="000000"/>
                <w:sz w:val="24"/>
                <w:szCs w:val="24"/>
                <w:lang w:val="en-US"/>
              </w:rPr>
              <w:t>Südtirol</w:t>
            </w:r>
            <w:proofErr w:type="spellEnd"/>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21,6</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10,9</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10,9</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i/>
                <w:iCs/>
                <w:color w:val="000000"/>
                <w:sz w:val="24"/>
                <w:szCs w:val="24"/>
                <w:lang w:val="en-US"/>
              </w:rPr>
            </w:pPr>
            <w:r w:rsidRPr="00D955C4">
              <w:rPr>
                <w:rFonts w:ascii="Times New Roman" w:eastAsia="Times New Roman" w:hAnsi="Times New Roman" w:cs="Times New Roman"/>
                <w:i/>
                <w:iCs/>
                <w:color w:val="000000"/>
                <w:sz w:val="24"/>
                <w:szCs w:val="24"/>
                <w:lang w:val="en-US"/>
              </w:rPr>
              <w:t>Bolzano/</w:t>
            </w:r>
            <w:proofErr w:type="spellStart"/>
            <w:r w:rsidRPr="00D955C4">
              <w:rPr>
                <w:rFonts w:ascii="Times New Roman" w:eastAsia="Times New Roman" w:hAnsi="Times New Roman" w:cs="Times New Roman"/>
                <w:i/>
                <w:iCs/>
                <w:color w:val="000000"/>
                <w:sz w:val="24"/>
                <w:szCs w:val="24"/>
                <w:lang w:val="en-US"/>
              </w:rPr>
              <w:t>Bozen</w:t>
            </w:r>
            <w:proofErr w:type="spellEnd"/>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i/>
                <w:iCs/>
                <w:color w:val="000000"/>
                <w:sz w:val="24"/>
                <w:szCs w:val="24"/>
                <w:lang w:val="en-US"/>
              </w:rPr>
            </w:pPr>
            <w:r w:rsidRPr="00D955C4">
              <w:rPr>
                <w:rFonts w:ascii="Times New Roman" w:eastAsia="Times New Roman" w:hAnsi="Times New Roman" w:cs="Times New Roman"/>
                <w:i/>
                <w:iCs/>
                <w:color w:val="000000"/>
                <w:sz w:val="24"/>
                <w:szCs w:val="24"/>
                <w:lang w:val="en-US"/>
              </w:rPr>
              <w:t>30,2</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i/>
                <w:iCs/>
                <w:color w:val="000000"/>
                <w:sz w:val="24"/>
                <w:szCs w:val="24"/>
                <w:lang w:val="en-US"/>
              </w:rPr>
            </w:pPr>
            <w:r w:rsidRPr="00D955C4">
              <w:rPr>
                <w:rFonts w:ascii="Times New Roman" w:eastAsia="Times New Roman" w:hAnsi="Times New Roman" w:cs="Times New Roman"/>
                <w:i/>
                <w:iCs/>
                <w:color w:val="000000"/>
                <w:sz w:val="24"/>
                <w:szCs w:val="24"/>
                <w:lang w:val="en-US"/>
              </w:rPr>
              <w:t>13,1</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i/>
                <w:iCs/>
                <w:color w:val="000000"/>
                <w:sz w:val="24"/>
                <w:szCs w:val="24"/>
                <w:lang w:val="en-US"/>
              </w:rPr>
            </w:pPr>
            <w:r w:rsidRPr="00D955C4">
              <w:rPr>
                <w:rFonts w:ascii="Times New Roman" w:eastAsia="Times New Roman" w:hAnsi="Times New Roman" w:cs="Times New Roman"/>
                <w:i/>
                <w:iCs/>
                <w:color w:val="000000"/>
                <w:sz w:val="24"/>
                <w:szCs w:val="24"/>
                <w:lang w:val="en-US"/>
              </w:rPr>
              <w:t>13,1</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i/>
                <w:iCs/>
                <w:color w:val="000000"/>
                <w:sz w:val="24"/>
                <w:szCs w:val="24"/>
                <w:lang w:val="en-US"/>
              </w:rPr>
            </w:pPr>
            <w:r w:rsidRPr="00D955C4">
              <w:rPr>
                <w:rFonts w:ascii="Times New Roman" w:eastAsia="Times New Roman" w:hAnsi="Times New Roman" w:cs="Times New Roman"/>
                <w:i/>
                <w:iCs/>
                <w:color w:val="000000"/>
                <w:sz w:val="24"/>
                <w:szCs w:val="24"/>
                <w:lang w:val="en-US"/>
              </w:rPr>
              <w:t>Trento</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i/>
                <w:iCs/>
                <w:color w:val="000000"/>
                <w:sz w:val="24"/>
                <w:szCs w:val="24"/>
                <w:lang w:val="en-US"/>
              </w:rPr>
            </w:pPr>
            <w:r w:rsidRPr="00D955C4">
              <w:rPr>
                <w:rFonts w:ascii="Times New Roman" w:eastAsia="Times New Roman" w:hAnsi="Times New Roman" w:cs="Times New Roman"/>
                <w:i/>
                <w:iCs/>
                <w:color w:val="000000"/>
                <w:sz w:val="24"/>
                <w:szCs w:val="24"/>
                <w:lang w:val="en-US"/>
              </w:rPr>
              <w:t>12,1</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i/>
                <w:iCs/>
                <w:color w:val="000000"/>
                <w:sz w:val="24"/>
                <w:szCs w:val="24"/>
                <w:lang w:val="en-US"/>
              </w:rPr>
            </w:pPr>
            <w:r w:rsidRPr="00D955C4">
              <w:rPr>
                <w:rFonts w:ascii="Times New Roman" w:eastAsia="Times New Roman" w:hAnsi="Times New Roman" w:cs="Times New Roman"/>
                <w:i/>
                <w:iCs/>
                <w:color w:val="000000"/>
                <w:sz w:val="24"/>
                <w:szCs w:val="24"/>
                <w:lang w:val="en-US"/>
              </w:rPr>
              <w:t>8,5</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i/>
                <w:iCs/>
                <w:color w:val="000000"/>
                <w:sz w:val="24"/>
                <w:szCs w:val="24"/>
                <w:lang w:val="en-US"/>
              </w:rPr>
            </w:pPr>
            <w:r w:rsidRPr="00D955C4">
              <w:rPr>
                <w:rFonts w:ascii="Times New Roman" w:eastAsia="Times New Roman" w:hAnsi="Times New Roman" w:cs="Times New Roman"/>
                <w:i/>
                <w:iCs/>
                <w:color w:val="000000"/>
                <w:sz w:val="24"/>
                <w:szCs w:val="24"/>
                <w:lang w:val="en-US"/>
              </w:rPr>
              <w:t>8,7</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Veneto</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18,1</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8,4</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8,1</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Friuli-Venezia Giulia</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13,6</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11,1</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6,9</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Emilia-Romagna</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20,1</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13,2</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13,3</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Tuscany</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20,6</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13,8</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13,4</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Umbria</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13,1</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9,1</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8,1</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Marche</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16,9</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10,9</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10</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Lazio</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15,4</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12,5</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11,3</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Abruzzo</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15,7</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9,6</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14,2</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Molise</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14,9</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12,1</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10,1</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Campania</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27,6</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19,6</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18,8</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Puglia</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29,1</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16,9</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16,7</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Basilicata</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16,3</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12,2</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10,3</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Calabria</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21,4</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16,8</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16,1</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Sicily</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29,5</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24</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24,3</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Sardinia</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29,5</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23,4</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22,9</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North</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20,5</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12</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11,7</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Centre</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17</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12,4</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11,5</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 xml:space="preserve">South </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26,7</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19,3</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color w:val="000000"/>
                <w:sz w:val="24"/>
                <w:szCs w:val="24"/>
                <w:lang w:val="en-US"/>
              </w:rPr>
            </w:pPr>
            <w:r w:rsidRPr="00D955C4">
              <w:rPr>
                <w:rFonts w:ascii="Times New Roman" w:eastAsia="Times New Roman" w:hAnsi="Times New Roman" w:cs="Times New Roman"/>
                <w:color w:val="000000"/>
                <w:sz w:val="24"/>
                <w:szCs w:val="24"/>
                <w:lang w:val="en-US"/>
              </w:rPr>
              <w:t>19,2</w:t>
            </w:r>
          </w:p>
        </w:tc>
      </w:tr>
      <w:tr w:rsidR="006202C7" w:rsidRPr="006202C7" w:rsidTr="006202C7">
        <w:trPr>
          <w:trHeight w:val="315"/>
        </w:trPr>
        <w:tc>
          <w:tcPr>
            <w:tcW w:w="3100" w:type="dxa"/>
            <w:shd w:val="clear" w:color="auto" w:fill="auto"/>
            <w:noWrap/>
            <w:vAlign w:val="center"/>
            <w:hideMark/>
          </w:tcPr>
          <w:p w:rsidR="006202C7" w:rsidRPr="00D955C4" w:rsidRDefault="006202C7" w:rsidP="006202C7">
            <w:pPr>
              <w:spacing w:after="0" w:line="240" w:lineRule="auto"/>
              <w:rPr>
                <w:rFonts w:ascii="Times New Roman" w:eastAsia="Times New Roman" w:hAnsi="Times New Roman" w:cs="Times New Roman"/>
                <w:b/>
                <w:bCs/>
                <w:color w:val="000000"/>
                <w:sz w:val="24"/>
                <w:szCs w:val="24"/>
                <w:lang w:val="en-US"/>
              </w:rPr>
            </w:pPr>
            <w:r w:rsidRPr="00D955C4">
              <w:rPr>
                <w:rFonts w:ascii="Times New Roman" w:eastAsia="Times New Roman" w:hAnsi="Times New Roman" w:cs="Times New Roman"/>
                <w:b/>
                <w:bCs/>
                <w:color w:val="000000"/>
                <w:sz w:val="24"/>
                <w:szCs w:val="24"/>
                <w:lang w:val="en-US"/>
              </w:rPr>
              <w:t>Italy</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b/>
                <w:bCs/>
                <w:color w:val="000000"/>
                <w:sz w:val="24"/>
                <w:szCs w:val="24"/>
                <w:lang w:val="en-US"/>
              </w:rPr>
            </w:pPr>
            <w:r w:rsidRPr="00D955C4">
              <w:rPr>
                <w:rFonts w:ascii="Times New Roman" w:eastAsia="Times New Roman" w:hAnsi="Times New Roman" w:cs="Times New Roman"/>
                <w:b/>
                <w:bCs/>
                <w:color w:val="000000"/>
                <w:sz w:val="24"/>
                <w:szCs w:val="24"/>
                <w:lang w:val="en-US"/>
              </w:rPr>
              <w:t>22,6</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b/>
                <w:bCs/>
                <w:color w:val="000000"/>
                <w:sz w:val="24"/>
                <w:szCs w:val="24"/>
                <w:lang w:val="en-US"/>
              </w:rPr>
            </w:pPr>
            <w:r w:rsidRPr="00D955C4">
              <w:rPr>
                <w:rFonts w:ascii="Times New Roman" w:eastAsia="Times New Roman" w:hAnsi="Times New Roman" w:cs="Times New Roman"/>
                <w:b/>
                <w:bCs/>
                <w:color w:val="000000"/>
                <w:sz w:val="24"/>
                <w:szCs w:val="24"/>
                <w:lang w:val="en-US"/>
              </w:rPr>
              <w:t>15</w:t>
            </w:r>
          </w:p>
        </w:tc>
        <w:tc>
          <w:tcPr>
            <w:tcW w:w="960" w:type="dxa"/>
            <w:shd w:val="clear" w:color="auto" w:fill="auto"/>
            <w:vAlign w:val="center"/>
            <w:hideMark/>
          </w:tcPr>
          <w:p w:rsidR="006202C7" w:rsidRPr="00D955C4" w:rsidRDefault="006202C7" w:rsidP="006202C7">
            <w:pPr>
              <w:spacing w:after="0" w:line="240" w:lineRule="auto"/>
              <w:jc w:val="right"/>
              <w:rPr>
                <w:rFonts w:ascii="Times New Roman" w:eastAsia="Times New Roman" w:hAnsi="Times New Roman" w:cs="Times New Roman"/>
                <w:b/>
                <w:bCs/>
                <w:color w:val="000000"/>
                <w:sz w:val="24"/>
                <w:szCs w:val="24"/>
                <w:lang w:val="en-US"/>
              </w:rPr>
            </w:pPr>
            <w:r w:rsidRPr="00D955C4">
              <w:rPr>
                <w:rFonts w:ascii="Times New Roman" w:eastAsia="Times New Roman" w:hAnsi="Times New Roman" w:cs="Times New Roman"/>
                <w:b/>
                <w:bCs/>
                <w:color w:val="000000"/>
                <w:sz w:val="24"/>
                <w:szCs w:val="24"/>
                <w:lang w:val="en-US"/>
              </w:rPr>
              <w:t>14,7</w:t>
            </w:r>
          </w:p>
        </w:tc>
      </w:tr>
    </w:tbl>
    <w:p w:rsidR="006202C7" w:rsidRDefault="00D955C4" w:rsidP="00814984">
      <w:pPr>
        <w:pStyle w:val="Normale1"/>
        <w:spacing w:after="0" w:line="240" w:lineRule="auto"/>
        <w:rPr>
          <w:rFonts w:ascii="Times New Roman" w:hAnsi="Times New Roman" w:cs="Times New Roman"/>
          <w:sz w:val="24"/>
          <w:szCs w:val="24"/>
          <w:lang w:val="en-US"/>
        </w:rPr>
      </w:pPr>
      <w:r w:rsidRPr="00D955C4">
        <w:rPr>
          <w:rFonts w:ascii="Times New Roman" w:hAnsi="Times New Roman" w:cs="Times New Roman"/>
          <w:i/>
          <w:sz w:val="24"/>
          <w:szCs w:val="24"/>
          <w:lang w:val="en-US"/>
        </w:rPr>
        <w:t>Source</w:t>
      </w:r>
      <w:r>
        <w:rPr>
          <w:rFonts w:ascii="Times New Roman" w:hAnsi="Times New Roman" w:cs="Times New Roman"/>
          <w:sz w:val="24"/>
          <w:szCs w:val="24"/>
          <w:lang w:val="en-US"/>
        </w:rPr>
        <w:t>: Bes (2016).</w:t>
      </w:r>
    </w:p>
    <w:p w:rsidR="006202C7" w:rsidRDefault="006202C7" w:rsidP="00814984">
      <w:pPr>
        <w:pStyle w:val="Normale1"/>
        <w:spacing w:after="0" w:line="240" w:lineRule="auto"/>
        <w:rPr>
          <w:rFonts w:ascii="Times New Roman" w:hAnsi="Times New Roman" w:cs="Times New Roman"/>
          <w:sz w:val="24"/>
          <w:szCs w:val="24"/>
          <w:lang w:val="en-US"/>
        </w:rPr>
      </w:pPr>
    </w:p>
    <w:p w:rsidR="007B4539" w:rsidRPr="00E971F1" w:rsidRDefault="00164C60" w:rsidP="00E971F1">
      <w:pPr>
        <w:pStyle w:val="Titolo1"/>
        <w:rPr>
          <w:rStyle w:val="Enfasiintensa"/>
          <w:rFonts w:ascii="Times New Roman" w:hAnsi="Times New Roman" w:cs="Times New Roman"/>
          <w:b/>
          <w:i w:val="0"/>
          <w:color w:val="auto"/>
          <w:lang w:val="en-US"/>
        </w:rPr>
      </w:pPr>
      <w:bookmarkStart w:id="2" w:name="_Toc471117701"/>
      <w:r w:rsidRPr="00E971F1">
        <w:rPr>
          <w:rStyle w:val="Enfasiintensa"/>
          <w:rFonts w:ascii="Times New Roman" w:hAnsi="Times New Roman" w:cs="Times New Roman"/>
          <w:b/>
          <w:i w:val="0"/>
          <w:color w:val="auto"/>
          <w:lang w:val="en-US"/>
        </w:rPr>
        <w:t xml:space="preserve">Vulnerable groups of student identifiable as at risk in </w:t>
      </w:r>
      <w:r w:rsidR="007D6434" w:rsidRPr="00E971F1">
        <w:rPr>
          <w:rStyle w:val="Enfasiintensa"/>
          <w:rFonts w:ascii="Times New Roman" w:hAnsi="Times New Roman" w:cs="Times New Roman"/>
          <w:b/>
          <w:i w:val="0"/>
          <w:color w:val="auto"/>
          <w:lang w:val="en-US"/>
        </w:rPr>
        <w:t>Italy:</w:t>
      </w:r>
      <w:r w:rsidRPr="00E971F1">
        <w:rPr>
          <w:rStyle w:val="Enfasiintensa"/>
          <w:rFonts w:ascii="Times New Roman" w:hAnsi="Times New Roman" w:cs="Times New Roman"/>
          <w:b/>
          <w:i w:val="0"/>
          <w:color w:val="auto"/>
          <w:lang w:val="en-US"/>
        </w:rPr>
        <w:t xml:space="preserve"> schools: facts and figures</w:t>
      </w:r>
      <w:bookmarkEnd w:id="2"/>
    </w:p>
    <w:p w:rsidR="007B4539" w:rsidRPr="00E971F1" w:rsidRDefault="007B4539" w:rsidP="00814984">
      <w:pPr>
        <w:pStyle w:val="Normale1"/>
        <w:spacing w:after="0" w:line="240" w:lineRule="auto"/>
        <w:rPr>
          <w:rFonts w:ascii="Times New Roman" w:hAnsi="Times New Roman" w:cs="Times New Roman"/>
          <w:sz w:val="24"/>
          <w:szCs w:val="24"/>
          <w:lang w:val="en-US"/>
        </w:rPr>
      </w:pPr>
    </w:p>
    <w:p w:rsidR="007D6434" w:rsidRPr="007D6434" w:rsidRDefault="007D6434" w:rsidP="007D6434">
      <w:pPr>
        <w:spacing w:after="0" w:line="240" w:lineRule="auto"/>
        <w:jc w:val="both"/>
        <w:rPr>
          <w:rFonts w:ascii="Times New Roman" w:eastAsia="Calibri" w:hAnsi="Times New Roman" w:cs="Times New Roman"/>
          <w:sz w:val="24"/>
          <w:szCs w:val="24"/>
          <w:lang w:val="en-US"/>
        </w:rPr>
      </w:pPr>
      <w:r w:rsidRPr="007D6434">
        <w:rPr>
          <w:rFonts w:ascii="Times New Roman" w:eastAsia="Calibri" w:hAnsi="Times New Roman" w:cs="Times New Roman"/>
          <w:sz w:val="24"/>
          <w:szCs w:val="24"/>
          <w:lang w:val="en-US"/>
        </w:rPr>
        <w:t xml:space="preserve">The most recent PISA survey (2015) reveals that Italian students’ performances are below the average. Although Italian students improved their performances in </w:t>
      </w:r>
      <w:r w:rsidR="00E15BF2" w:rsidRPr="00E971F1">
        <w:rPr>
          <w:rFonts w:ascii="Times New Roman" w:eastAsia="Calibri" w:hAnsi="Times New Roman" w:cs="Times New Roman"/>
          <w:sz w:val="24"/>
          <w:szCs w:val="24"/>
          <w:lang w:val="en-US"/>
        </w:rPr>
        <w:t>math</w:t>
      </w:r>
      <w:r w:rsidRPr="007D6434">
        <w:rPr>
          <w:rFonts w:ascii="Times New Roman" w:eastAsia="Calibri" w:hAnsi="Times New Roman" w:cs="Times New Roman"/>
          <w:sz w:val="24"/>
          <w:szCs w:val="24"/>
          <w:lang w:val="en-US"/>
        </w:rPr>
        <w:t xml:space="preserve"> getting closer to the mean, they score 12 points lower the average in science and 8 points lower in reading. </w:t>
      </w:r>
    </w:p>
    <w:p w:rsidR="007D6434" w:rsidRPr="007D6434" w:rsidRDefault="007D6434" w:rsidP="007D6434">
      <w:pPr>
        <w:spacing w:after="0" w:line="240" w:lineRule="auto"/>
        <w:jc w:val="both"/>
        <w:rPr>
          <w:rFonts w:ascii="Times New Roman" w:eastAsia="Calibri" w:hAnsi="Times New Roman" w:cs="Times New Roman"/>
          <w:sz w:val="24"/>
          <w:szCs w:val="24"/>
          <w:lang w:val="en-US"/>
        </w:rPr>
      </w:pPr>
    </w:p>
    <w:p w:rsidR="007D6434" w:rsidRPr="007D6434" w:rsidRDefault="007D6434" w:rsidP="007D6434">
      <w:pPr>
        <w:spacing w:after="0" w:line="240" w:lineRule="auto"/>
        <w:jc w:val="both"/>
        <w:rPr>
          <w:rFonts w:ascii="Times New Roman" w:eastAsia="Calibri" w:hAnsi="Times New Roman" w:cs="Times New Roman"/>
          <w:sz w:val="24"/>
          <w:szCs w:val="24"/>
          <w:lang w:val="en-US"/>
        </w:rPr>
      </w:pPr>
    </w:p>
    <w:p w:rsidR="007D6434" w:rsidRPr="00E971F1" w:rsidRDefault="000A42D5" w:rsidP="007D6434">
      <w:pPr>
        <w:spacing w:after="0" w:line="240" w:lineRule="auto"/>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Tab. 3</w:t>
      </w:r>
      <w:r w:rsidR="007D6434" w:rsidRPr="007D6434">
        <w:rPr>
          <w:rFonts w:ascii="Times New Roman" w:eastAsia="Calibri" w:hAnsi="Times New Roman" w:cs="Times New Roman"/>
          <w:b/>
          <w:sz w:val="24"/>
          <w:szCs w:val="24"/>
          <w:lang w:val="en-US"/>
        </w:rPr>
        <w:t xml:space="preserve"> Performances in Science, Reading and Mathematics (OECD average, It</w:t>
      </w:r>
      <w:r w:rsidR="00D955C4">
        <w:rPr>
          <w:rFonts w:ascii="Times New Roman" w:eastAsia="Calibri" w:hAnsi="Times New Roman" w:cs="Times New Roman"/>
          <w:b/>
          <w:sz w:val="24"/>
          <w:szCs w:val="24"/>
          <w:lang w:val="en-US"/>
        </w:rPr>
        <w:t>aly, first and last country) (2016).</w:t>
      </w:r>
    </w:p>
    <w:p w:rsidR="00E15BF2" w:rsidRPr="007D6434" w:rsidRDefault="00E15BF2" w:rsidP="007D6434">
      <w:pPr>
        <w:spacing w:after="0" w:line="240" w:lineRule="auto"/>
        <w:jc w:val="both"/>
        <w:rPr>
          <w:rFonts w:ascii="Times New Roman" w:eastAsia="Calibri" w:hAnsi="Times New Roman" w:cs="Times New Roman"/>
          <w:b/>
          <w:sz w:val="24"/>
          <w:szCs w:val="24"/>
          <w:lang w:val="en-US"/>
        </w:rPr>
      </w:pPr>
    </w:p>
    <w:tbl>
      <w:tblPr>
        <w:tblStyle w:val="Grigliatabella"/>
        <w:tblW w:w="9747" w:type="dxa"/>
        <w:tblLook w:val="04A0" w:firstRow="1" w:lastRow="0" w:firstColumn="1" w:lastColumn="0" w:noHBand="0" w:noVBand="1"/>
      </w:tblPr>
      <w:tblGrid>
        <w:gridCol w:w="1668"/>
        <w:gridCol w:w="1134"/>
        <w:gridCol w:w="1466"/>
        <w:gridCol w:w="1369"/>
        <w:gridCol w:w="1534"/>
        <w:gridCol w:w="1167"/>
        <w:gridCol w:w="1409"/>
      </w:tblGrid>
      <w:tr w:rsidR="007D6434" w:rsidRPr="007D6434" w:rsidTr="003270B6">
        <w:trPr>
          <w:trHeight w:val="300"/>
        </w:trPr>
        <w:tc>
          <w:tcPr>
            <w:tcW w:w="1668" w:type="dxa"/>
            <w:noWrap/>
            <w:hideMark/>
          </w:tcPr>
          <w:p w:rsidR="007D6434" w:rsidRPr="007D6434" w:rsidRDefault="007D6434" w:rsidP="007D6434">
            <w:pPr>
              <w:jc w:val="both"/>
              <w:rPr>
                <w:rFonts w:ascii="Times New Roman" w:hAnsi="Times New Roman" w:cs="Times New Roman"/>
                <w:sz w:val="24"/>
                <w:szCs w:val="24"/>
                <w:lang w:val="en-US"/>
              </w:rPr>
            </w:pPr>
          </w:p>
        </w:tc>
        <w:tc>
          <w:tcPr>
            <w:tcW w:w="2600" w:type="dxa"/>
            <w:gridSpan w:val="2"/>
            <w:hideMark/>
          </w:tcPr>
          <w:p w:rsidR="007D6434" w:rsidRPr="007D6434" w:rsidRDefault="007D6434" w:rsidP="00E15BF2">
            <w:pPr>
              <w:jc w:val="center"/>
              <w:rPr>
                <w:rFonts w:ascii="Times New Roman" w:hAnsi="Times New Roman" w:cs="Times New Roman"/>
                <w:b/>
                <w:bCs/>
                <w:sz w:val="24"/>
                <w:szCs w:val="24"/>
                <w:lang w:val="en-US"/>
              </w:rPr>
            </w:pPr>
            <w:r w:rsidRPr="007D6434">
              <w:rPr>
                <w:rFonts w:ascii="Times New Roman" w:hAnsi="Times New Roman" w:cs="Times New Roman"/>
                <w:b/>
                <w:bCs/>
                <w:sz w:val="24"/>
                <w:szCs w:val="24"/>
                <w:lang w:val="en-US"/>
              </w:rPr>
              <w:t>Science</w:t>
            </w:r>
          </w:p>
        </w:tc>
        <w:tc>
          <w:tcPr>
            <w:tcW w:w="2903" w:type="dxa"/>
            <w:gridSpan w:val="2"/>
            <w:hideMark/>
          </w:tcPr>
          <w:p w:rsidR="007D6434" w:rsidRPr="007D6434" w:rsidRDefault="007D6434" w:rsidP="00E15BF2">
            <w:pPr>
              <w:jc w:val="center"/>
              <w:rPr>
                <w:rFonts w:ascii="Times New Roman" w:hAnsi="Times New Roman" w:cs="Times New Roman"/>
                <w:b/>
                <w:bCs/>
                <w:sz w:val="24"/>
                <w:szCs w:val="24"/>
                <w:lang w:val="en-US"/>
              </w:rPr>
            </w:pPr>
            <w:r w:rsidRPr="007D6434">
              <w:rPr>
                <w:rFonts w:ascii="Times New Roman" w:hAnsi="Times New Roman" w:cs="Times New Roman"/>
                <w:b/>
                <w:bCs/>
                <w:sz w:val="24"/>
                <w:szCs w:val="24"/>
                <w:lang w:val="en-US"/>
              </w:rPr>
              <w:t>Reading</w:t>
            </w:r>
          </w:p>
        </w:tc>
        <w:tc>
          <w:tcPr>
            <w:tcW w:w="2576" w:type="dxa"/>
            <w:gridSpan w:val="2"/>
            <w:hideMark/>
          </w:tcPr>
          <w:p w:rsidR="007D6434" w:rsidRPr="007D6434" w:rsidRDefault="007D6434" w:rsidP="00E15BF2">
            <w:pPr>
              <w:jc w:val="center"/>
              <w:rPr>
                <w:rFonts w:ascii="Times New Roman" w:hAnsi="Times New Roman" w:cs="Times New Roman"/>
                <w:b/>
                <w:bCs/>
                <w:sz w:val="24"/>
                <w:szCs w:val="24"/>
                <w:lang w:val="en-US"/>
              </w:rPr>
            </w:pPr>
            <w:r w:rsidRPr="007D6434">
              <w:rPr>
                <w:rFonts w:ascii="Times New Roman" w:hAnsi="Times New Roman" w:cs="Times New Roman"/>
                <w:b/>
                <w:bCs/>
                <w:sz w:val="24"/>
                <w:szCs w:val="24"/>
                <w:lang w:val="en-US"/>
              </w:rPr>
              <w:t>Mathematics</w:t>
            </w:r>
          </w:p>
        </w:tc>
      </w:tr>
      <w:tr w:rsidR="007D6434" w:rsidRPr="007D6434" w:rsidTr="003270B6">
        <w:trPr>
          <w:trHeight w:val="600"/>
        </w:trPr>
        <w:tc>
          <w:tcPr>
            <w:tcW w:w="1668" w:type="dxa"/>
            <w:noWrap/>
            <w:hideMark/>
          </w:tcPr>
          <w:p w:rsidR="007D6434" w:rsidRPr="007D6434" w:rsidRDefault="007D6434" w:rsidP="007D6434">
            <w:pPr>
              <w:jc w:val="both"/>
              <w:rPr>
                <w:rFonts w:ascii="Times New Roman" w:hAnsi="Times New Roman" w:cs="Times New Roman"/>
                <w:sz w:val="24"/>
                <w:szCs w:val="24"/>
                <w:lang w:val="en-US"/>
              </w:rPr>
            </w:pPr>
          </w:p>
        </w:tc>
        <w:tc>
          <w:tcPr>
            <w:tcW w:w="1134" w:type="dxa"/>
            <w:hideMark/>
          </w:tcPr>
          <w:p w:rsidR="007D6434" w:rsidRPr="007D6434" w:rsidRDefault="007D6434" w:rsidP="00E15BF2">
            <w:pPr>
              <w:rPr>
                <w:rFonts w:ascii="Times New Roman" w:hAnsi="Times New Roman" w:cs="Times New Roman"/>
                <w:b/>
                <w:bCs/>
                <w:sz w:val="24"/>
                <w:szCs w:val="24"/>
                <w:lang w:val="en-US"/>
              </w:rPr>
            </w:pPr>
            <w:r w:rsidRPr="007D6434">
              <w:rPr>
                <w:rFonts w:ascii="Times New Roman" w:hAnsi="Times New Roman" w:cs="Times New Roman"/>
                <w:b/>
                <w:bCs/>
                <w:sz w:val="24"/>
                <w:szCs w:val="24"/>
                <w:lang w:val="en-US"/>
              </w:rPr>
              <w:t xml:space="preserve">Mean score </w:t>
            </w:r>
          </w:p>
        </w:tc>
        <w:tc>
          <w:tcPr>
            <w:tcW w:w="1466" w:type="dxa"/>
            <w:hideMark/>
          </w:tcPr>
          <w:p w:rsidR="007D6434" w:rsidRPr="007D6434" w:rsidRDefault="00E15BF2" w:rsidP="00E15BF2">
            <w:pPr>
              <w:rPr>
                <w:rFonts w:ascii="Times New Roman" w:hAnsi="Times New Roman" w:cs="Times New Roman"/>
                <w:b/>
                <w:bCs/>
                <w:sz w:val="24"/>
                <w:szCs w:val="24"/>
                <w:lang w:val="en-US"/>
              </w:rPr>
            </w:pPr>
            <w:r w:rsidRPr="00E971F1">
              <w:rPr>
                <w:rFonts w:ascii="Times New Roman" w:hAnsi="Times New Roman" w:cs="Times New Roman"/>
                <w:b/>
                <w:bCs/>
                <w:sz w:val="24"/>
                <w:szCs w:val="24"/>
                <w:lang w:val="en-US"/>
              </w:rPr>
              <w:t>S</w:t>
            </w:r>
            <w:r w:rsidR="007D6434" w:rsidRPr="007D6434">
              <w:rPr>
                <w:rFonts w:ascii="Times New Roman" w:hAnsi="Times New Roman" w:cs="Times New Roman"/>
                <w:b/>
                <w:bCs/>
                <w:sz w:val="24"/>
                <w:szCs w:val="24"/>
                <w:lang w:val="en-US"/>
              </w:rPr>
              <w:t>core diff. OECD average</w:t>
            </w:r>
          </w:p>
        </w:tc>
        <w:tc>
          <w:tcPr>
            <w:tcW w:w="1369" w:type="dxa"/>
            <w:hideMark/>
          </w:tcPr>
          <w:p w:rsidR="007D6434" w:rsidRPr="007D6434" w:rsidRDefault="007D6434" w:rsidP="00E15BF2">
            <w:pPr>
              <w:rPr>
                <w:rFonts w:ascii="Times New Roman" w:hAnsi="Times New Roman" w:cs="Times New Roman"/>
                <w:b/>
                <w:bCs/>
                <w:sz w:val="24"/>
                <w:szCs w:val="24"/>
                <w:lang w:val="en-US"/>
              </w:rPr>
            </w:pPr>
            <w:r w:rsidRPr="007D6434">
              <w:rPr>
                <w:rFonts w:ascii="Times New Roman" w:hAnsi="Times New Roman" w:cs="Times New Roman"/>
                <w:b/>
                <w:bCs/>
                <w:sz w:val="24"/>
                <w:szCs w:val="24"/>
                <w:lang w:val="en-US"/>
              </w:rPr>
              <w:t xml:space="preserve">Mean score </w:t>
            </w:r>
          </w:p>
        </w:tc>
        <w:tc>
          <w:tcPr>
            <w:tcW w:w="1534" w:type="dxa"/>
            <w:hideMark/>
          </w:tcPr>
          <w:p w:rsidR="007D6434" w:rsidRPr="007D6434" w:rsidRDefault="00E15BF2" w:rsidP="00E15BF2">
            <w:pPr>
              <w:rPr>
                <w:rFonts w:ascii="Times New Roman" w:hAnsi="Times New Roman" w:cs="Times New Roman"/>
                <w:b/>
                <w:bCs/>
                <w:sz w:val="24"/>
                <w:szCs w:val="24"/>
                <w:lang w:val="en-US"/>
              </w:rPr>
            </w:pPr>
            <w:r w:rsidRPr="00E971F1">
              <w:rPr>
                <w:rFonts w:ascii="Times New Roman" w:hAnsi="Times New Roman" w:cs="Times New Roman"/>
                <w:b/>
                <w:bCs/>
                <w:sz w:val="24"/>
                <w:szCs w:val="24"/>
                <w:lang w:val="en-US"/>
              </w:rPr>
              <w:t>S</w:t>
            </w:r>
            <w:r w:rsidR="007D6434" w:rsidRPr="007D6434">
              <w:rPr>
                <w:rFonts w:ascii="Times New Roman" w:hAnsi="Times New Roman" w:cs="Times New Roman"/>
                <w:b/>
                <w:bCs/>
                <w:sz w:val="24"/>
                <w:szCs w:val="24"/>
                <w:lang w:val="en-US"/>
              </w:rPr>
              <w:t>core diff. OECD average</w:t>
            </w:r>
          </w:p>
        </w:tc>
        <w:tc>
          <w:tcPr>
            <w:tcW w:w="1167" w:type="dxa"/>
            <w:hideMark/>
          </w:tcPr>
          <w:p w:rsidR="007D6434" w:rsidRPr="007D6434" w:rsidRDefault="007D6434" w:rsidP="00E15BF2">
            <w:pPr>
              <w:rPr>
                <w:rFonts w:ascii="Times New Roman" w:hAnsi="Times New Roman" w:cs="Times New Roman"/>
                <w:b/>
                <w:bCs/>
                <w:sz w:val="24"/>
                <w:szCs w:val="24"/>
                <w:lang w:val="en-US"/>
              </w:rPr>
            </w:pPr>
            <w:r w:rsidRPr="007D6434">
              <w:rPr>
                <w:rFonts w:ascii="Times New Roman" w:hAnsi="Times New Roman" w:cs="Times New Roman"/>
                <w:b/>
                <w:bCs/>
                <w:sz w:val="24"/>
                <w:szCs w:val="24"/>
                <w:lang w:val="en-US"/>
              </w:rPr>
              <w:t xml:space="preserve">Mean score </w:t>
            </w:r>
          </w:p>
        </w:tc>
        <w:tc>
          <w:tcPr>
            <w:tcW w:w="1409" w:type="dxa"/>
            <w:hideMark/>
          </w:tcPr>
          <w:p w:rsidR="007D6434" w:rsidRPr="007D6434" w:rsidRDefault="00E15BF2" w:rsidP="00E15BF2">
            <w:pPr>
              <w:rPr>
                <w:rFonts w:ascii="Times New Roman" w:hAnsi="Times New Roman" w:cs="Times New Roman"/>
                <w:b/>
                <w:bCs/>
                <w:sz w:val="24"/>
                <w:szCs w:val="24"/>
                <w:lang w:val="en-US"/>
              </w:rPr>
            </w:pPr>
            <w:r w:rsidRPr="00E971F1">
              <w:rPr>
                <w:rFonts w:ascii="Times New Roman" w:hAnsi="Times New Roman" w:cs="Times New Roman"/>
                <w:b/>
                <w:bCs/>
                <w:sz w:val="24"/>
                <w:szCs w:val="24"/>
                <w:lang w:val="en-US"/>
              </w:rPr>
              <w:t>S</w:t>
            </w:r>
            <w:r w:rsidR="007D6434" w:rsidRPr="007D6434">
              <w:rPr>
                <w:rFonts w:ascii="Times New Roman" w:hAnsi="Times New Roman" w:cs="Times New Roman"/>
                <w:b/>
                <w:bCs/>
                <w:sz w:val="24"/>
                <w:szCs w:val="24"/>
                <w:lang w:val="en-US"/>
              </w:rPr>
              <w:t>core diff. OECD average</w:t>
            </w:r>
          </w:p>
        </w:tc>
      </w:tr>
      <w:tr w:rsidR="007D6434" w:rsidRPr="007D6434" w:rsidTr="003270B6">
        <w:trPr>
          <w:trHeight w:val="300"/>
        </w:trPr>
        <w:tc>
          <w:tcPr>
            <w:tcW w:w="1668" w:type="dxa"/>
            <w:noWrap/>
            <w:hideMark/>
          </w:tcPr>
          <w:p w:rsidR="007D6434" w:rsidRPr="007D6434" w:rsidRDefault="007D6434" w:rsidP="007D6434">
            <w:pPr>
              <w:jc w:val="both"/>
              <w:rPr>
                <w:rFonts w:ascii="Times New Roman" w:hAnsi="Times New Roman" w:cs="Times New Roman"/>
                <w:sz w:val="24"/>
                <w:szCs w:val="24"/>
                <w:lang w:val="en-US"/>
              </w:rPr>
            </w:pPr>
            <w:r w:rsidRPr="007D6434">
              <w:rPr>
                <w:rFonts w:ascii="Times New Roman" w:hAnsi="Times New Roman" w:cs="Times New Roman"/>
                <w:sz w:val="24"/>
                <w:szCs w:val="24"/>
                <w:lang w:val="en-US"/>
              </w:rPr>
              <w:t xml:space="preserve">OECD average </w:t>
            </w:r>
          </w:p>
        </w:tc>
        <w:tc>
          <w:tcPr>
            <w:tcW w:w="1134"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493</w:t>
            </w:r>
          </w:p>
        </w:tc>
        <w:tc>
          <w:tcPr>
            <w:tcW w:w="1466" w:type="dxa"/>
            <w:noWrap/>
            <w:hideMark/>
          </w:tcPr>
          <w:p w:rsidR="007D6434" w:rsidRPr="007D6434" w:rsidRDefault="007D6434" w:rsidP="00E15BF2">
            <w:pPr>
              <w:jc w:val="right"/>
              <w:rPr>
                <w:rFonts w:ascii="Times New Roman" w:hAnsi="Times New Roman" w:cs="Times New Roman"/>
                <w:sz w:val="24"/>
                <w:szCs w:val="24"/>
                <w:lang w:val="en-US"/>
              </w:rPr>
            </w:pPr>
          </w:p>
        </w:tc>
        <w:tc>
          <w:tcPr>
            <w:tcW w:w="1369"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493</w:t>
            </w:r>
          </w:p>
        </w:tc>
        <w:tc>
          <w:tcPr>
            <w:tcW w:w="1534" w:type="dxa"/>
            <w:noWrap/>
            <w:hideMark/>
          </w:tcPr>
          <w:p w:rsidR="007D6434" w:rsidRPr="007D6434" w:rsidRDefault="007D6434" w:rsidP="00E15BF2">
            <w:pPr>
              <w:jc w:val="right"/>
              <w:rPr>
                <w:rFonts w:ascii="Times New Roman" w:hAnsi="Times New Roman" w:cs="Times New Roman"/>
                <w:sz w:val="24"/>
                <w:szCs w:val="24"/>
                <w:lang w:val="en-US"/>
              </w:rPr>
            </w:pPr>
          </w:p>
        </w:tc>
        <w:tc>
          <w:tcPr>
            <w:tcW w:w="1167"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490</w:t>
            </w:r>
          </w:p>
        </w:tc>
        <w:tc>
          <w:tcPr>
            <w:tcW w:w="1409" w:type="dxa"/>
            <w:noWrap/>
            <w:hideMark/>
          </w:tcPr>
          <w:p w:rsidR="007D6434" w:rsidRPr="007D6434" w:rsidRDefault="007D6434" w:rsidP="00E15BF2">
            <w:pPr>
              <w:jc w:val="right"/>
              <w:rPr>
                <w:rFonts w:ascii="Times New Roman" w:hAnsi="Times New Roman" w:cs="Times New Roman"/>
                <w:sz w:val="24"/>
                <w:szCs w:val="24"/>
                <w:lang w:val="en-US"/>
              </w:rPr>
            </w:pPr>
          </w:p>
        </w:tc>
      </w:tr>
      <w:tr w:rsidR="007D6434" w:rsidRPr="007D6434" w:rsidTr="003270B6">
        <w:trPr>
          <w:trHeight w:val="300"/>
        </w:trPr>
        <w:tc>
          <w:tcPr>
            <w:tcW w:w="1668" w:type="dxa"/>
            <w:noWrap/>
            <w:hideMark/>
          </w:tcPr>
          <w:p w:rsidR="007D6434" w:rsidRPr="007D6434" w:rsidRDefault="007D6434" w:rsidP="007D6434">
            <w:pPr>
              <w:jc w:val="both"/>
              <w:rPr>
                <w:rFonts w:ascii="Times New Roman" w:hAnsi="Times New Roman" w:cs="Times New Roman"/>
                <w:sz w:val="24"/>
                <w:szCs w:val="24"/>
                <w:lang w:val="en-US"/>
              </w:rPr>
            </w:pPr>
            <w:r w:rsidRPr="007D6434">
              <w:rPr>
                <w:rFonts w:ascii="Times New Roman" w:hAnsi="Times New Roman" w:cs="Times New Roman"/>
                <w:sz w:val="24"/>
                <w:szCs w:val="24"/>
                <w:lang w:val="en-US"/>
              </w:rPr>
              <w:t>Singapore (1°)</w:t>
            </w:r>
          </w:p>
        </w:tc>
        <w:tc>
          <w:tcPr>
            <w:tcW w:w="1134"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556</w:t>
            </w:r>
          </w:p>
        </w:tc>
        <w:tc>
          <w:tcPr>
            <w:tcW w:w="1466"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63</w:t>
            </w:r>
          </w:p>
        </w:tc>
        <w:tc>
          <w:tcPr>
            <w:tcW w:w="1369"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535</w:t>
            </w:r>
          </w:p>
        </w:tc>
        <w:tc>
          <w:tcPr>
            <w:tcW w:w="1534"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42</w:t>
            </w:r>
          </w:p>
        </w:tc>
        <w:tc>
          <w:tcPr>
            <w:tcW w:w="1167"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564</w:t>
            </w:r>
          </w:p>
        </w:tc>
        <w:tc>
          <w:tcPr>
            <w:tcW w:w="1409"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74</w:t>
            </w:r>
          </w:p>
        </w:tc>
      </w:tr>
      <w:tr w:rsidR="007D6434" w:rsidRPr="007D6434" w:rsidTr="003270B6">
        <w:trPr>
          <w:trHeight w:val="300"/>
        </w:trPr>
        <w:tc>
          <w:tcPr>
            <w:tcW w:w="1668" w:type="dxa"/>
            <w:noWrap/>
            <w:hideMark/>
          </w:tcPr>
          <w:p w:rsidR="007D6434" w:rsidRPr="007D6434" w:rsidRDefault="007D6434" w:rsidP="007D6434">
            <w:pPr>
              <w:jc w:val="both"/>
              <w:rPr>
                <w:rFonts w:ascii="Times New Roman" w:hAnsi="Times New Roman" w:cs="Times New Roman"/>
                <w:b/>
                <w:bCs/>
                <w:sz w:val="24"/>
                <w:szCs w:val="24"/>
                <w:lang w:val="en-US"/>
              </w:rPr>
            </w:pPr>
            <w:r w:rsidRPr="007D6434">
              <w:rPr>
                <w:rFonts w:ascii="Times New Roman" w:hAnsi="Times New Roman" w:cs="Times New Roman"/>
                <w:b/>
                <w:bCs/>
                <w:sz w:val="24"/>
                <w:szCs w:val="24"/>
                <w:lang w:val="en-US"/>
              </w:rPr>
              <w:t>Italy (34°)</w:t>
            </w:r>
          </w:p>
        </w:tc>
        <w:tc>
          <w:tcPr>
            <w:tcW w:w="1134" w:type="dxa"/>
            <w:noWrap/>
            <w:hideMark/>
          </w:tcPr>
          <w:p w:rsidR="007D6434" w:rsidRPr="007D6434" w:rsidRDefault="007D6434" w:rsidP="00E15BF2">
            <w:pPr>
              <w:jc w:val="right"/>
              <w:rPr>
                <w:rFonts w:ascii="Times New Roman" w:hAnsi="Times New Roman" w:cs="Times New Roman"/>
                <w:b/>
                <w:bCs/>
                <w:sz w:val="24"/>
                <w:szCs w:val="24"/>
                <w:lang w:val="en-US"/>
              </w:rPr>
            </w:pPr>
            <w:r w:rsidRPr="007D6434">
              <w:rPr>
                <w:rFonts w:ascii="Times New Roman" w:hAnsi="Times New Roman" w:cs="Times New Roman"/>
                <w:b/>
                <w:bCs/>
                <w:sz w:val="24"/>
                <w:szCs w:val="24"/>
                <w:lang w:val="en-US"/>
              </w:rPr>
              <w:t>481</w:t>
            </w:r>
          </w:p>
        </w:tc>
        <w:tc>
          <w:tcPr>
            <w:tcW w:w="1466"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-12</w:t>
            </w:r>
          </w:p>
        </w:tc>
        <w:tc>
          <w:tcPr>
            <w:tcW w:w="1369" w:type="dxa"/>
            <w:noWrap/>
            <w:hideMark/>
          </w:tcPr>
          <w:p w:rsidR="007D6434" w:rsidRPr="007D6434" w:rsidRDefault="007D6434" w:rsidP="00E15BF2">
            <w:pPr>
              <w:jc w:val="right"/>
              <w:rPr>
                <w:rFonts w:ascii="Times New Roman" w:hAnsi="Times New Roman" w:cs="Times New Roman"/>
                <w:b/>
                <w:bCs/>
                <w:sz w:val="24"/>
                <w:szCs w:val="24"/>
                <w:lang w:val="en-US"/>
              </w:rPr>
            </w:pPr>
            <w:r w:rsidRPr="007D6434">
              <w:rPr>
                <w:rFonts w:ascii="Times New Roman" w:hAnsi="Times New Roman" w:cs="Times New Roman"/>
                <w:b/>
                <w:bCs/>
                <w:sz w:val="24"/>
                <w:szCs w:val="24"/>
                <w:lang w:val="en-US"/>
              </w:rPr>
              <w:t>485</w:t>
            </w:r>
          </w:p>
        </w:tc>
        <w:tc>
          <w:tcPr>
            <w:tcW w:w="1534"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-8</w:t>
            </w:r>
          </w:p>
        </w:tc>
        <w:tc>
          <w:tcPr>
            <w:tcW w:w="1167" w:type="dxa"/>
            <w:noWrap/>
            <w:hideMark/>
          </w:tcPr>
          <w:p w:rsidR="007D6434" w:rsidRPr="007D6434" w:rsidRDefault="007D6434" w:rsidP="00E15BF2">
            <w:pPr>
              <w:jc w:val="right"/>
              <w:rPr>
                <w:rFonts w:ascii="Times New Roman" w:hAnsi="Times New Roman" w:cs="Times New Roman"/>
                <w:b/>
                <w:bCs/>
                <w:sz w:val="24"/>
                <w:szCs w:val="24"/>
                <w:lang w:val="en-US"/>
              </w:rPr>
            </w:pPr>
            <w:r w:rsidRPr="007D6434">
              <w:rPr>
                <w:rFonts w:ascii="Times New Roman" w:hAnsi="Times New Roman" w:cs="Times New Roman"/>
                <w:b/>
                <w:bCs/>
                <w:sz w:val="24"/>
                <w:szCs w:val="24"/>
                <w:lang w:val="en-US"/>
              </w:rPr>
              <w:t>490</w:t>
            </w:r>
          </w:p>
        </w:tc>
        <w:tc>
          <w:tcPr>
            <w:tcW w:w="1409"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0</w:t>
            </w:r>
          </w:p>
        </w:tc>
      </w:tr>
      <w:tr w:rsidR="007D6434" w:rsidRPr="007D6434" w:rsidTr="003270B6">
        <w:trPr>
          <w:trHeight w:val="300"/>
        </w:trPr>
        <w:tc>
          <w:tcPr>
            <w:tcW w:w="1668" w:type="dxa"/>
            <w:noWrap/>
            <w:hideMark/>
          </w:tcPr>
          <w:p w:rsidR="007D6434" w:rsidRPr="007D6434" w:rsidRDefault="007D6434" w:rsidP="007D6434">
            <w:pPr>
              <w:jc w:val="both"/>
              <w:rPr>
                <w:rFonts w:ascii="Times New Roman" w:hAnsi="Times New Roman" w:cs="Times New Roman"/>
                <w:sz w:val="24"/>
                <w:szCs w:val="24"/>
                <w:lang w:val="en-US"/>
              </w:rPr>
            </w:pPr>
            <w:r w:rsidRPr="007D6434">
              <w:rPr>
                <w:rFonts w:ascii="Times New Roman" w:hAnsi="Times New Roman" w:cs="Times New Roman"/>
                <w:sz w:val="24"/>
                <w:szCs w:val="24"/>
                <w:lang w:val="en-US"/>
              </w:rPr>
              <w:t>Dominican Republic (72°)</w:t>
            </w:r>
          </w:p>
        </w:tc>
        <w:tc>
          <w:tcPr>
            <w:tcW w:w="1134"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332</w:t>
            </w:r>
          </w:p>
        </w:tc>
        <w:tc>
          <w:tcPr>
            <w:tcW w:w="1466"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-161</w:t>
            </w:r>
          </w:p>
        </w:tc>
        <w:tc>
          <w:tcPr>
            <w:tcW w:w="1369"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358</w:t>
            </w:r>
          </w:p>
        </w:tc>
        <w:tc>
          <w:tcPr>
            <w:tcW w:w="1534"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-135</w:t>
            </w:r>
          </w:p>
        </w:tc>
        <w:tc>
          <w:tcPr>
            <w:tcW w:w="1167"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328</w:t>
            </w:r>
          </w:p>
        </w:tc>
        <w:tc>
          <w:tcPr>
            <w:tcW w:w="1409" w:type="dxa"/>
            <w:noWrap/>
            <w:hideMark/>
          </w:tcPr>
          <w:p w:rsidR="007D6434" w:rsidRPr="007D6434" w:rsidRDefault="007D6434" w:rsidP="00E15BF2">
            <w:pPr>
              <w:jc w:val="right"/>
              <w:rPr>
                <w:rFonts w:ascii="Times New Roman" w:hAnsi="Times New Roman" w:cs="Times New Roman"/>
                <w:sz w:val="24"/>
                <w:szCs w:val="24"/>
                <w:lang w:val="en-US"/>
              </w:rPr>
            </w:pPr>
            <w:r w:rsidRPr="007D6434">
              <w:rPr>
                <w:rFonts w:ascii="Times New Roman" w:hAnsi="Times New Roman" w:cs="Times New Roman"/>
                <w:sz w:val="24"/>
                <w:szCs w:val="24"/>
                <w:lang w:val="en-US"/>
              </w:rPr>
              <w:t>-162</w:t>
            </w:r>
          </w:p>
        </w:tc>
      </w:tr>
    </w:tbl>
    <w:p w:rsidR="007D6434" w:rsidRPr="007D6434" w:rsidRDefault="007D6434" w:rsidP="007D6434">
      <w:pPr>
        <w:spacing w:after="0" w:line="240" w:lineRule="auto"/>
        <w:jc w:val="both"/>
        <w:rPr>
          <w:rFonts w:ascii="Times New Roman" w:eastAsia="Calibri" w:hAnsi="Times New Roman" w:cs="Times New Roman"/>
          <w:sz w:val="24"/>
          <w:szCs w:val="24"/>
          <w:lang w:val="en-US"/>
        </w:rPr>
      </w:pPr>
      <w:r w:rsidRPr="007D6434">
        <w:rPr>
          <w:rFonts w:ascii="Times New Roman" w:eastAsia="Calibri" w:hAnsi="Times New Roman" w:cs="Times New Roman"/>
          <w:i/>
          <w:sz w:val="24"/>
          <w:szCs w:val="24"/>
          <w:lang w:val="en-US"/>
        </w:rPr>
        <w:t>Source</w:t>
      </w:r>
      <w:r w:rsidRPr="007D6434">
        <w:rPr>
          <w:rFonts w:ascii="Times New Roman" w:eastAsia="Calibri" w:hAnsi="Times New Roman" w:cs="Times New Roman"/>
          <w:sz w:val="24"/>
          <w:szCs w:val="24"/>
          <w:lang w:val="en-US"/>
        </w:rPr>
        <w:t>: OECD (2016)</w:t>
      </w:r>
      <w:r w:rsidR="00D955C4">
        <w:rPr>
          <w:rFonts w:ascii="Times New Roman" w:eastAsia="Calibri" w:hAnsi="Times New Roman" w:cs="Times New Roman"/>
          <w:sz w:val="24"/>
          <w:szCs w:val="24"/>
          <w:lang w:val="en-US"/>
        </w:rPr>
        <w:t>.</w:t>
      </w:r>
    </w:p>
    <w:p w:rsidR="00D955C4" w:rsidRDefault="00D955C4" w:rsidP="007D6434">
      <w:pPr>
        <w:spacing w:after="0" w:line="240" w:lineRule="auto"/>
        <w:jc w:val="both"/>
        <w:rPr>
          <w:rFonts w:ascii="Times New Roman" w:eastAsia="Calibri" w:hAnsi="Times New Roman" w:cs="Times New Roman"/>
          <w:sz w:val="24"/>
          <w:szCs w:val="24"/>
          <w:lang w:val="en-US"/>
        </w:rPr>
      </w:pPr>
    </w:p>
    <w:p w:rsidR="007D6434" w:rsidRPr="007D6434" w:rsidRDefault="007D6434" w:rsidP="007D6434">
      <w:pPr>
        <w:spacing w:after="0" w:line="240" w:lineRule="auto"/>
        <w:jc w:val="both"/>
        <w:rPr>
          <w:rFonts w:ascii="Times New Roman" w:eastAsia="Calibri" w:hAnsi="Times New Roman" w:cs="Times New Roman"/>
          <w:sz w:val="24"/>
          <w:szCs w:val="24"/>
          <w:lang w:val="en-US"/>
        </w:rPr>
      </w:pPr>
      <w:r w:rsidRPr="007D6434">
        <w:rPr>
          <w:rFonts w:ascii="Times New Roman" w:eastAsia="Calibri" w:hAnsi="Times New Roman" w:cs="Times New Roman"/>
          <w:sz w:val="24"/>
          <w:szCs w:val="24"/>
          <w:lang w:val="en-US"/>
        </w:rPr>
        <w:t>PISA survey confirms differences among students in performance</w:t>
      </w:r>
      <w:r w:rsidR="003270B6" w:rsidRPr="00E971F1">
        <w:rPr>
          <w:rFonts w:ascii="Times New Roman" w:eastAsia="Calibri" w:hAnsi="Times New Roman" w:cs="Times New Roman"/>
          <w:sz w:val="24"/>
          <w:szCs w:val="24"/>
          <w:lang w:val="en-US"/>
        </w:rPr>
        <w:t xml:space="preserve">s based on gender, nationality, </w:t>
      </w:r>
      <w:r w:rsidRPr="007D6434">
        <w:rPr>
          <w:rFonts w:ascii="Times New Roman" w:eastAsia="Calibri" w:hAnsi="Times New Roman" w:cs="Times New Roman"/>
          <w:sz w:val="24"/>
          <w:szCs w:val="24"/>
          <w:lang w:val="en-US"/>
        </w:rPr>
        <w:t xml:space="preserve">region where they live , socio-economic status. </w:t>
      </w:r>
    </w:p>
    <w:p w:rsidR="003270B6" w:rsidRPr="00E971F1" w:rsidRDefault="007D6434" w:rsidP="007D6434">
      <w:pPr>
        <w:spacing w:after="0" w:line="240" w:lineRule="auto"/>
        <w:jc w:val="both"/>
        <w:rPr>
          <w:rFonts w:ascii="Times New Roman" w:eastAsia="Calibri" w:hAnsi="Times New Roman" w:cs="Times New Roman"/>
          <w:sz w:val="24"/>
          <w:szCs w:val="24"/>
          <w:lang w:val="en-US"/>
        </w:rPr>
      </w:pPr>
      <w:r w:rsidRPr="007D6434">
        <w:rPr>
          <w:rFonts w:ascii="Times New Roman" w:eastAsia="Calibri" w:hAnsi="Times New Roman" w:cs="Times New Roman"/>
          <w:sz w:val="24"/>
          <w:szCs w:val="24"/>
          <w:lang w:val="en-US"/>
        </w:rPr>
        <w:t>Male students, students of foreign origin (and particularly those who were born abroad), young people who live in the southern regions, socio-economically disadvantaged students obtain lower performances, and they risk to leave school early.</w:t>
      </w:r>
    </w:p>
    <w:p w:rsidR="007D6434" w:rsidRPr="007D6434" w:rsidRDefault="007D6434" w:rsidP="007D6434">
      <w:pPr>
        <w:spacing w:after="0" w:line="240" w:lineRule="auto"/>
        <w:jc w:val="both"/>
        <w:rPr>
          <w:rFonts w:ascii="Times New Roman" w:eastAsia="Calibri" w:hAnsi="Times New Roman" w:cs="Times New Roman"/>
          <w:sz w:val="24"/>
          <w:szCs w:val="24"/>
          <w:lang w:val="en-US"/>
        </w:rPr>
      </w:pPr>
      <w:r w:rsidRPr="007D6434">
        <w:rPr>
          <w:rFonts w:ascii="Times New Roman" w:eastAsia="Calibri" w:hAnsi="Times New Roman" w:cs="Times New Roman"/>
          <w:sz w:val="24"/>
          <w:szCs w:val="24"/>
          <w:lang w:val="en-US"/>
        </w:rPr>
        <w:t xml:space="preserve">The PISA survey also reveals that among the 72 countries participating in the survey, Italian students are the most truant. About 55% of Italian students said that they had been absent from school with permission for a day or more in the two weeks prior to PISA test, and 41% said they had been absent a few hours of lesson. In addition, in Italy one student (15 years old) out of 10 has repeated a grade and 10% has repeated a grade at the secondary school. </w:t>
      </w:r>
    </w:p>
    <w:p w:rsidR="007D6434" w:rsidRPr="007D6434" w:rsidRDefault="007D6434" w:rsidP="007D6434">
      <w:pPr>
        <w:spacing w:after="0" w:line="240" w:lineRule="auto"/>
        <w:jc w:val="both"/>
        <w:rPr>
          <w:rFonts w:ascii="Times New Roman" w:eastAsia="Calibri" w:hAnsi="Times New Roman" w:cs="Times New Roman"/>
          <w:sz w:val="24"/>
          <w:szCs w:val="24"/>
          <w:lang w:val="en-US"/>
        </w:rPr>
      </w:pPr>
      <w:r w:rsidRPr="007D6434">
        <w:rPr>
          <w:rFonts w:ascii="Times New Roman" w:eastAsia="Calibri" w:hAnsi="Times New Roman" w:cs="Times New Roman"/>
          <w:sz w:val="24"/>
          <w:szCs w:val="24"/>
          <w:lang w:val="en-US"/>
        </w:rPr>
        <w:t xml:space="preserve">Thus, PISA survey outlines some issues which could help identify the vulnerable groups and predict drop-out: low performances, irregular attendance at school, repeated grades influence students performances, their school career and their investments in education. These factors are </w:t>
      </w:r>
      <w:r w:rsidRPr="007D6434">
        <w:rPr>
          <w:rFonts w:ascii="Times New Roman" w:eastAsia="Calibri" w:hAnsi="Times New Roman" w:cs="Times New Roman"/>
          <w:sz w:val="24"/>
          <w:szCs w:val="24"/>
          <w:lang w:val="en-US"/>
        </w:rPr>
        <w:lastRenderedPageBreak/>
        <w:t xml:space="preserve">often intertwined with low socio-economic status, immigrant background, gender, place of residence, so that the likelihood to leave the educational system becomes higher. </w:t>
      </w:r>
    </w:p>
    <w:p w:rsidR="007D6434" w:rsidRPr="007D6434" w:rsidRDefault="007D6434" w:rsidP="007D6434">
      <w:pPr>
        <w:spacing w:after="0" w:line="240" w:lineRule="auto"/>
        <w:jc w:val="both"/>
        <w:rPr>
          <w:rFonts w:ascii="Times New Roman" w:eastAsia="Calibri" w:hAnsi="Times New Roman" w:cs="Times New Roman"/>
          <w:sz w:val="24"/>
          <w:szCs w:val="24"/>
          <w:lang w:val="en-US"/>
        </w:rPr>
      </w:pPr>
    </w:p>
    <w:p w:rsidR="007D6434" w:rsidRPr="007D6434" w:rsidRDefault="007D6434" w:rsidP="007D6434">
      <w:pPr>
        <w:spacing w:after="0" w:line="240" w:lineRule="auto"/>
        <w:rPr>
          <w:rFonts w:ascii="HelveticaNeueLT Std" w:eastAsia="MS PGothic" w:hAnsi="HelveticaNeueLT Std" w:cs="HelveticaNeueLT Std Med"/>
          <w:kern w:val="24"/>
          <w:sz w:val="24"/>
          <w:szCs w:val="24"/>
          <w:lang w:val="en-US"/>
        </w:rPr>
      </w:pPr>
    </w:p>
    <w:p w:rsidR="007D6434" w:rsidRPr="007D6434" w:rsidRDefault="007D6434" w:rsidP="007D6434">
      <w:pPr>
        <w:spacing w:after="0" w:line="240" w:lineRule="auto"/>
        <w:rPr>
          <w:rFonts w:ascii="Times New Roman" w:eastAsia="Calibri" w:hAnsi="Times New Roman" w:cs="Times New Roman"/>
          <w:b/>
          <w:sz w:val="24"/>
          <w:szCs w:val="24"/>
          <w:lang w:val="en-US"/>
        </w:rPr>
      </w:pPr>
      <w:r w:rsidRPr="007D6434">
        <w:rPr>
          <w:rFonts w:ascii="Times New Roman" w:eastAsia="Calibri" w:hAnsi="Times New Roman" w:cs="Times New Roman"/>
          <w:b/>
          <w:sz w:val="24"/>
          <w:szCs w:val="24"/>
          <w:lang w:val="en-US"/>
        </w:rPr>
        <w:t>Figure 1. Change between 2012 and 2015 in student truancy.</w:t>
      </w:r>
    </w:p>
    <w:p w:rsidR="007D6434" w:rsidRPr="007D6434" w:rsidRDefault="007D6434" w:rsidP="007D6434">
      <w:pPr>
        <w:spacing w:after="0" w:line="240" w:lineRule="auto"/>
        <w:rPr>
          <w:rFonts w:ascii="Times New Roman" w:eastAsia="Calibri" w:hAnsi="Times New Roman" w:cs="Times New Roman"/>
          <w:sz w:val="24"/>
          <w:szCs w:val="24"/>
          <w:lang w:val="en-US"/>
        </w:rPr>
      </w:pPr>
    </w:p>
    <w:p w:rsidR="007D6434" w:rsidRPr="007D6434" w:rsidRDefault="007D6434" w:rsidP="007D6434">
      <w:pPr>
        <w:spacing w:after="0" w:line="240" w:lineRule="auto"/>
        <w:rPr>
          <w:rFonts w:ascii="Times New Roman" w:eastAsia="Calibri" w:hAnsi="Times New Roman" w:cs="Times New Roman"/>
          <w:sz w:val="24"/>
          <w:szCs w:val="24"/>
          <w:lang w:val="en-US"/>
        </w:rPr>
      </w:pPr>
      <w:r w:rsidRPr="007D6434">
        <w:rPr>
          <w:rFonts w:ascii="Times New Roman" w:eastAsia="Calibri" w:hAnsi="Times New Roman" w:cs="Times New Roman"/>
          <w:noProof/>
          <w:sz w:val="24"/>
          <w:szCs w:val="24"/>
          <w:lang w:val="en-US"/>
        </w:rPr>
        <w:drawing>
          <wp:inline distT="0" distB="0" distL="0" distR="0" wp14:anchorId="3C46C060" wp14:editId="014F01E3">
            <wp:extent cx="6120130" cy="2615723"/>
            <wp:effectExtent l="0" t="0" r="0" b="0"/>
            <wp:docPr id="2" name="Gra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6434" w:rsidRPr="007D6434" w:rsidRDefault="007D6434" w:rsidP="007D6434">
      <w:pPr>
        <w:spacing w:after="0" w:line="240" w:lineRule="auto"/>
        <w:rPr>
          <w:rFonts w:ascii="Times New Roman" w:eastAsia="Calibri" w:hAnsi="Times New Roman" w:cs="Times New Roman"/>
          <w:sz w:val="24"/>
          <w:szCs w:val="24"/>
          <w:lang w:val="en-US"/>
        </w:rPr>
      </w:pPr>
    </w:p>
    <w:p w:rsidR="007D6434" w:rsidRPr="007D6434" w:rsidRDefault="007D6434" w:rsidP="007D6434">
      <w:pPr>
        <w:spacing w:after="0" w:line="240" w:lineRule="auto"/>
        <w:rPr>
          <w:rFonts w:ascii="Times New Roman" w:eastAsia="Calibri" w:hAnsi="Times New Roman" w:cs="Times New Roman"/>
          <w:sz w:val="24"/>
          <w:szCs w:val="24"/>
          <w:lang w:val="en-US"/>
        </w:rPr>
      </w:pPr>
      <w:r w:rsidRPr="007D6434">
        <w:rPr>
          <w:rFonts w:ascii="Times New Roman" w:eastAsia="Calibri" w:hAnsi="Times New Roman" w:cs="Times New Roman"/>
          <w:i/>
          <w:sz w:val="24"/>
          <w:szCs w:val="24"/>
          <w:lang w:val="en-US"/>
        </w:rPr>
        <w:t>Source</w:t>
      </w:r>
      <w:r w:rsidRPr="007D6434">
        <w:rPr>
          <w:rFonts w:ascii="Times New Roman" w:eastAsia="Calibri" w:hAnsi="Times New Roman" w:cs="Times New Roman"/>
          <w:sz w:val="24"/>
          <w:szCs w:val="24"/>
          <w:lang w:val="en-US"/>
        </w:rPr>
        <w:t xml:space="preserve">: </w:t>
      </w:r>
      <w:proofErr w:type="spellStart"/>
      <w:r w:rsidRPr="007D6434">
        <w:rPr>
          <w:rFonts w:ascii="Times New Roman" w:eastAsia="Calibri" w:hAnsi="Times New Roman" w:cs="Times New Roman"/>
          <w:sz w:val="24"/>
          <w:szCs w:val="24"/>
          <w:lang w:val="en-US"/>
        </w:rPr>
        <w:t>Avvisati</w:t>
      </w:r>
      <w:proofErr w:type="spellEnd"/>
      <w:r w:rsidRPr="007D6434">
        <w:rPr>
          <w:rFonts w:ascii="Times New Roman" w:eastAsia="Calibri" w:hAnsi="Times New Roman" w:cs="Times New Roman"/>
          <w:sz w:val="24"/>
          <w:szCs w:val="24"/>
          <w:lang w:val="en-US"/>
        </w:rPr>
        <w:t xml:space="preserve"> F. (2016), </w:t>
      </w:r>
      <w:r w:rsidR="00BF33BF" w:rsidRPr="00BF33BF">
        <w:rPr>
          <w:rFonts w:ascii="Times New Roman" w:eastAsia="Calibri" w:hAnsi="Times New Roman" w:cs="Times New Roman"/>
          <w:sz w:val="24"/>
          <w:szCs w:val="24"/>
          <w:lang w:val="en-US"/>
        </w:rPr>
        <w:t>OECD (2016</w:t>
      </w:r>
      <w:r w:rsidRPr="00BF33BF">
        <w:rPr>
          <w:rFonts w:ascii="Times New Roman" w:eastAsia="Calibri" w:hAnsi="Times New Roman" w:cs="Times New Roman"/>
          <w:sz w:val="24"/>
          <w:szCs w:val="24"/>
          <w:lang w:val="en-US"/>
        </w:rPr>
        <w:t>)</w:t>
      </w:r>
      <w:r w:rsidR="00BF33BF" w:rsidRPr="00BF33BF">
        <w:rPr>
          <w:rFonts w:ascii="Times New Roman" w:eastAsia="Calibri" w:hAnsi="Times New Roman" w:cs="Times New Roman"/>
          <w:sz w:val="24"/>
          <w:szCs w:val="24"/>
          <w:lang w:val="en-US"/>
        </w:rPr>
        <w:t>.</w:t>
      </w:r>
    </w:p>
    <w:p w:rsidR="007D6434" w:rsidRPr="00E971F1" w:rsidRDefault="007D6434" w:rsidP="00814984">
      <w:pPr>
        <w:pStyle w:val="Normale1"/>
        <w:spacing w:after="0" w:line="240" w:lineRule="auto"/>
        <w:rPr>
          <w:rFonts w:ascii="Times New Roman" w:hAnsi="Times New Roman" w:cs="Times New Roman"/>
          <w:sz w:val="24"/>
          <w:szCs w:val="24"/>
          <w:lang w:val="en-US"/>
        </w:rPr>
      </w:pPr>
    </w:p>
    <w:p w:rsidR="007D6434" w:rsidRPr="00E971F1" w:rsidRDefault="007D6434" w:rsidP="00814984">
      <w:pPr>
        <w:pStyle w:val="Normale1"/>
        <w:spacing w:after="0" w:line="240" w:lineRule="auto"/>
        <w:rPr>
          <w:rFonts w:ascii="Times New Roman" w:hAnsi="Times New Roman" w:cs="Times New Roman"/>
          <w:sz w:val="24"/>
          <w:szCs w:val="24"/>
          <w:lang w:val="en-US"/>
        </w:rPr>
      </w:pPr>
    </w:p>
    <w:p w:rsidR="007B4539" w:rsidRPr="00E971F1" w:rsidRDefault="00164C60" w:rsidP="00E971F1">
      <w:pPr>
        <w:pStyle w:val="Titolo1"/>
        <w:rPr>
          <w:rStyle w:val="Enfasiintensa"/>
          <w:rFonts w:ascii="Times New Roman" w:hAnsi="Times New Roman" w:cs="Times New Roman"/>
          <w:b/>
          <w:bCs/>
          <w:i w:val="0"/>
          <w:iCs w:val="0"/>
          <w:color w:val="auto"/>
          <w:lang w:val="en-US"/>
        </w:rPr>
      </w:pPr>
      <w:bookmarkStart w:id="3" w:name="_Toc471117702"/>
      <w:r w:rsidRPr="00E971F1">
        <w:rPr>
          <w:rStyle w:val="Enfasiintensa"/>
          <w:rFonts w:ascii="Times New Roman" w:hAnsi="Times New Roman" w:cs="Times New Roman"/>
          <w:b/>
          <w:bCs/>
          <w:i w:val="0"/>
          <w:iCs w:val="0"/>
          <w:color w:val="auto"/>
          <w:lang w:val="en-US"/>
        </w:rPr>
        <w:t xml:space="preserve">Strategies, policies and measures against early leaving adopted in </w:t>
      </w:r>
      <w:r w:rsidR="003270B6" w:rsidRPr="00E971F1">
        <w:rPr>
          <w:rStyle w:val="Enfasiintensa"/>
          <w:rFonts w:ascii="Times New Roman" w:hAnsi="Times New Roman" w:cs="Times New Roman"/>
          <w:b/>
          <w:bCs/>
          <w:i w:val="0"/>
          <w:iCs w:val="0"/>
          <w:color w:val="auto"/>
          <w:lang w:val="en-US"/>
        </w:rPr>
        <w:t>Italy</w:t>
      </w:r>
      <w:bookmarkEnd w:id="3"/>
      <w:r w:rsidRPr="00E971F1">
        <w:rPr>
          <w:rStyle w:val="Enfasiintensa"/>
          <w:rFonts w:ascii="Times New Roman" w:hAnsi="Times New Roman" w:cs="Times New Roman"/>
          <w:b/>
          <w:bCs/>
          <w:i w:val="0"/>
          <w:iCs w:val="0"/>
          <w:color w:val="auto"/>
          <w:lang w:val="en-US"/>
        </w:rPr>
        <w:t xml:space="preserve"> </w:t>
      </w:r>
    </w:p>
    <w:p w:rsidR="007B4539" w:rsidRPr="00E971F1" w:rsidRDefault="007B4539" w:rsidP="00814984">
      <w:pPr>
        <w:pStyle w:val="Normale1"/>
        <w:spacing w:after="0" w:line="240" w:lineRule="auto"/>
        <w:rPr>
          <w:rFonts w:ascii="Times New Roman" w:hAnsi="Times New Roman" w:cs="Times New Roman"/>
          <w:sz w:val="24"/>
          <w:szCs w:val="24"/>
          <w:lang w:val="en-US"/>
        </w:rPr>
      </w:pPr>
    </w:p>
    <w:p w:rsidR="003270B6" w:rsidRPr="003270B6" w:rsidRDefault="003270B6" w:rsidP="003270B6">
      <w:pPr>
        <w:spacing w:after="0" w:line="240" w:lineRule="auto"/>
        <w:jc w:val="both"/>
        <w:rPr>
          <w:rFonts w:ascii="Times New Roman" w:eastAsia="Calibri" w:hAnsi="Times New Roman" w:cs="Times New Roman"/>
          <w:sz w:val="24"/>
          <w:szCs w:val="24"/>
          <w:lang w:val="en-US"/>
        </w:rPr>
      </w:pPr>
      <w:r w:rsidRPr="003270B6">
        <w:rPr>
          <w:rFonts w:ascii="Times New Roman" w:eastAsia="Calibri" w:hAnsi="Times New Roman" w:cs="Times New Roman"/>
          <w:sz w:val="24"/>
          <w:szCs w:val="24"/>
          <w:lang w:val="en-US"/>
        </w:rPr>
        <w:t>After the Recommendation adopted by the European Education Council in 2011, some European countries (e.g. Malta, Austria, Belgium) adopted a comprehensive strategy to reduce ESL. Some countries already had a strategy, and others were in the process (Eurydice</w:t>
      </w:r>
      <w:r w:rsidR="00BF33BF" w:rsidRPr="00BF33BF">
        <w:rPr>
          <w:rFonts w:ascii="Times New Roman" w:eastAsia="Calibri" w:hAnsi="Times New Roman" w:cs="Times New Roman"/>
          <w:sz w:val="24"/>
          <w:szCs w:val="24"/>
          <w:lang w:val="en-US"/>
        </w:rPr>
        <w:t>,</w:t>
      </w:r>
      <w:r w:rsidRPr="00BF33BF">
        <w:rPr>
          <w:rFonts w:ascii="Times New Roman" w:eastAsia="Calibri" w:hAnsi="Times New Roman" w:cs="Times New Roman"/>
          <w:sz w:val="24"/>
          <w:szCs w:val="24"/>
          <w:lang w:val="en-US"/>
        </w:rPr>
        <w:t xml:space="preserve"> 201</w:t>
      </w:r>
      <w:r w:rsidR="00BF33BF" w:rsidRPr="00BF33BF">
        <w:rPr>
          <w:rFonts w:ascii="Times New Roman" w:eastAsia="Calibri" w:hAnsi="Times New Roman" w:cs="Times New Roman"/>
          <w:sz w:val="24"/>
          <w:szCs w:val="24"/>
          <w:lang w:val="en-US"/>
        </w:rPr>
        <w:t>4</w:t>
      </w:r>
      <w:r w:rsidRPr="00BF33BF">
        <w:rPr>
          <w:rFonts w:ascii="Times New Roman" w:eastAsia="Calibri" w:hAnsi="Times New Roman" w:cs="Times New Roman"/>
          <w:sz w:val="24"/>
          <w:szCs w:val="24"/>
          <w:lang w:val="en-US"/>
        </w:rPr>
        <w:t>).</w:t>
      </w:r>
      <w:r w:rsidRPr="003270B6">
        <w:rPr>
          <w:rFonts w:ascii="Times New Roman" w:eastAsia="Calibri" w:hAnsi="Times New Roman" w:cs="Times New Roman"/>
          <w:sz w:val="24"/>
          <w:szCs w:val="24"/>
          <w:lang w:val="en-US"/>
        </w:rPr>
        <w:t xml:space="preserve"> </w:t>
      </w:r>
    </w:p>
    <w:p w:rsidR="003270B6" w:rsidRPr="003270B6" w:rsidRDefault="003270B6" w:rsidP="003270B6">
      <w:pPr>
        <w:spacing w:after="0" w:line="240" w:lineRule="auto"/>
        <w:jc w:val="both"/>
        <w:rPr>
          <w:rFonts w:ascii="Times New Roman" w:eastAsia="Calibri" w:hAnsi="Times New Roman" w:cs="Times New Roman"/>
          <w:sz w:val="24"/>
          <w:szCs w:val="24"/>
          <w:lang w:val="en-US"/>
        </w:rPr>
      </w:pPr>
      <w:r w:rsidRPr="003270B6">
        <w:rPr>
          <w:rFonts w:ascii="Times New Roman" w:eastAsia="Calibri" w:hAnsi="Times New Roman" w:cs="Times New Roman"/>
          <w:sz w:val="24"/>
          <w:szCs w:val="24"/>
          <w:lang w:val="en-US"/>
        </w:rPr>
        <w:t xml:space="preserve">By contrast, Italy has never implemented a comprehensive strategy to reduce ESL. Some strategies, policies and measures already existed in Italy, but they were part of a broad approach aimed at offering equal opportunities to all students. The core of this approach is universalism, which dates back to ‘70 and it is based on egalitarian and inclusive principles. Universalism ensures equal opportunities for all students regardless of their citizenship, gender, religion, etc. It concerns access to the educational system, academic performances and curriculum guidance. </w:t>
      </w:r>
    </w:p>
    <w:p w:rsidR="003270B6" w:rsidRPr="003270B6" w:rsidRDefault="003270B6" w:rsidP="003270B6">
      <w:pPr>
        <w:spacing w:after="0" w:line="240" w:lineRule="auto"/>
        <w:jc w:val="both"/>
        <w:rPr>
          <w:rFonts w:ascii="Times New Roman" w:eastAsia="Calibri" w:hAnsi="Times New Roman" w:cs="Times New Roman"/>
          <w:sz w:val="24"/>
          <w:szCs w:val="24"/>
          <w:lang w:val="en-US"/>
        </w:rPr>
      </w:pPr>
      <w:r w:rsidRPr="003270B6">
        <w:rPr>
          <w:rFonts w:ascii="Times New Roman" w:eastAsia="Calibri" w:hAnsi="Times New Roman" w:cs="Times New Roman"/>
          <w:sz w:val="24"/>
          <w:szCs w:val="24"/>
          <w:lang w:val="en-US"/>
        </w:rPr>
        <w:t xml:space="preserve">In addition to the principle of universalism, some other measures were adopted in the following decades. In 2006 education became compulsory until age 16 and for at least 10 years (Law 27 Dec. 2006, n. 296). By next policies (Ministerial Decree 22 Agosto 2007, n. 139 and Circular </w:t>
      </w:r>
      <w:r w:rsidRPr="003270B6">
        <w:rPr>
          <w:rFonts w:ascii="Times New Roman" w:eastAsia="Calibri" w:hAnsi="Times New Roman" w:cs="Times New Roman"/>
          <w:sz w:val="24"/>
          <w:szCs w:val="24"/>
          <w:lang w:val="en-US"/>
        </w:rPr>
        <w:lastRenderedPageBreak/>
        <w:t xml:space="preserve">Letter 30/12/2010, n. 101) compulsory education was further improved. Now compulsory education has to be until at least 10 years, and it covers the age group between 6 and 16 years old; it is aimed at obtaining a diploma of higher secondary school or a professional qualification lasting at least 3 years by age 18. Compulsory education is free of charge. </w:t>
      </w:r>
    </w:p>
    <w:p w:rsidR="003270B6" w:rsidRPr="003270B6" w:rsidRDefault="003270B6" w:rsidP="003270B6">
      <w:pPr>
        <w:spacing w:after="0" w:line="240" w:lineRule="auto"/>
        <w:jc w:val="both"/>
        <w:rPr>
          <w:rFonts w:ascii="Times New Roman" w:eastAsia="Calibri" w:hAnsi="Times New Roman" w:cs="Times New Roman"/>
          <w:sz w:val="24"/>
          <w:szCs w:val="24"/>
          <w:lang w:val="en-US"/>
        </w:rPr>
      </w:pPr>
      <w:r w:rsidRPr="003270B6">
        <w:rPr>
          <w:rFonts w:ascii="Times New Roman" w:eastAsia="Calibri" w:hAnsi="Times New Roman" w:cs="Times New Roman"/>
          <w:sz w:val="24"/>
          <w:szCs w:val="24"/>
          <w:lang w:val="en-US"/>
        </w:rPr>
        <w:t>Even though this measure does not necessarily lead to the reduction of ESL, it contributes to the expansion of educational opportunities and influences behaviors of family and students, contributing to a decrease in ESL (European Commission, 2011).</w:t>
      </w:r>
    </w:p>
    <w:p w:rsidR="003270B6" w:rsidRPr="003270B6" w:rsidRDefault="003270B6" w:rsidP="003270B6">
      <w:pPr>
        <w:spacing w:after="0" w:line="240" w:lineRule="auto"/>
        <w:jc w:val="both"/>
        <w:rPr>
          <w:rFonts w:ascii="Times New Roman" w:eastAsia="Calibri" w:hAnsi="Times New Roman" w:cs="Times New Roman"/>
          <w:sz w:val="24"/>
          <w:szCs w:val="24"/>
          <w:lang w:val="en-US"/>
        </w:rPr>
      </w:pPr>
      <w:r w:rsidRPr="003270B6">
        <w:rPr>
          <w:rFonts w:ascii="Times New Roman" w:eastAsia="Calibri" w:hAnsi="Times New Roman" w:cs="Times New Roman"/>
          <w:sz w:val="24"/>
          <w:szCs w:val="24"/>
          <w:lang w:val="en-US"/>
        </w:rPr>
        <w:t>Another important measure introduced in 2006 was the methodology called “</w:t>
      </w:r>
      <w:proofErr w:type="spellStart"/>
      <w:r w:rsidRPr="003270B6">
        <w:rPr>
          <w:rFonts w:ascii="Times New Roman" w:eastAsia="Calibri" w:hAnsi="Times New Roman" w:cs="Times New Roman"/>
          <w:sz w:val="24"/>
          <w:szCs w:val="24"/>
          <w:lang w:val="en-US"/>
        </w:rPr>
        <w:t>alternanza</w:t>
      </w:r>
      <w:proofErr w:type="spellEnd"/>
      <w:r w:rsidRPr="003270B6">
        <w:rPr>
          <w:rFonts w:ascii="Times New Roman" w:eastAsia="Calibri" w:hAnsi="Times New Roman" w:cs="Times New Roman"/>
          <w:sz w:val="24"/>
          <w:szCs w:val="24"/>
          <w:lang w:val="en-US"/>
        </w:rPr>
        <w:t xml:space="preserve"> </w:t>
      </w:r>
      <w:proofErr w:type="spellStart"/>
      <w:r w:rsidRPr="003270B6">
        <w:rPr>
          <w:rFonts w:ascii="Times New Roman" w:eastAsia="Calibri" w:hAnsi="Times New Roman" w:cs="Times New Roman"/>
          <w:sz w:val="24"/>
          <w:szCs w:val="24"/>
          <w:lang w:val="en-US"/>
        </w:rPr>
        <w:t>scuola-lavoro</w:t>
      </w:r>
      <w:proofErr w:type="spellEnd"/>
      <w:r w:rsidRPr="003270B6">
        <w:rPr>
          <w:rFonts w:ascii="Times New Roman" w:eastAsia="Calibri" w:hAnsi="Times New Roman" w:cs="Times New Roman"/>
          <w:sz w:val="24"/>
          <w:szCs w:val="24"/>
          <w:lang w:val="en-US"/>
        </w:rPr>
        <w:t>” (</w:t>
      </w:r>
      <w:proofErr w:type="spellStart"/>
      <w:r w:rsidRPr="003270B6">
        <w:rPr>
          <w:rFonts w:ascii="Times New Roman" w:eastAsia="Calibri" w:hAnsi="Times New Roman" w:cs="Times New Roman"/>
          <w:sz w:val="24"/>
          <w:szCs w:val="24"/>
          <w:lang w:val="en-US"/>
        </w:rPr>
        <w:t>trad</w:t>
      </w:r>
      <w:proofErr w:type="spellEnd"/>
      <w:r w:rsidRPr="003270B6">
        <w:rPr>
          <w:rFonts w:ascii="Times New Roman" w:eastAsia="Calibri" w:hAnsi="Times New Roman" w:cs="Times New Roman"/>
          <w:sz w:val="24"/>
          <w:szCs w:val="24"/>
          <w:lang w:val="en-US"/>
        </w:rPr>
        <w:t>.</w:t>
      </w:r>
      <w:r w:rsidR="004A7BF5" w:rsidRPr="00E971F1">
        <w:rPr>
          <w:lang w:val="en-US"/>
        </w:rPr>
        <w:t xml:space="preserve"> </w:t>
      </w:r>
      <w:r w:rsidR="004A7BF5" w:rsidRPr="00E971F1">
        <w:rPr>
          <w:rFonts w:ascii="Times New Roman" w:eastAsia="Calibri" w:hAnsi="Times New Roman" w:cs="Times New Roman"/>
          <w:sz w:val="24"/>
          <w:szCs w:val="24"/>
          <w:lang w:val="en-US"/>
        </w:rPr>
        <w:t>Alternation School- Work (ASW) – Italian approach to Work-Related Learning),</w:t>
      </w:r>
      <w:r w:rsidRPr="003270B6">
        <w:rPr>
          <w:rFonts w:ascii="Times New Roman" w:eastAsia="Calibri" w:hAnsi="Times New Roman" w:cs="Times New Roman"/>
          <w:sz w:val="24"/>
          <w:szCs w:val="24"/>
          <w:lang w:val="en-US"/>
        </w:rPr>
        <w:t xml:space="preserve"> that allows students aged 16 to 18 to continue education, alternating school and work periods. The aim is to introduce flexibility in students’ educational paths and promote the development of personal interests and practical skills. </w:t>
      </w:r>
    </w:p>
    <w:p w:rsidR="003270B6" w:rsidRPr="003270B6" w:rsidRDefault="003270B6" w:rsidP="003270B6">
      <w:pPr>
        <w:spacing w:after="0" w:line="240" w:lineRule="auto"/>
        <w:jc w:val="both"/>
        <w:rPr>
          <w:rFonts w:ascii="Times New Roman" w:eastAsia="Calibri" w:hAnsi="Times New Roman" w:cs="Times New Roman"/>
          <w:sz w:val="24"/>
          <w:szCs w:val="24"/>
          <w:lang w:val="en-US"/>
        </w:rPr>
      </w:pPr>
      <w:r w:rsidRPr="003270B6">
        <w:rPr>
          <w:rFonts w:ascii="Times New Roman" w:eastAsia="Calibri" w:hAnsi="Times New Roman" w:cs="Times New Roman"/>
          <w:sz w:val="24"/>
          <w:szCs w:val="24"/>
          <w:lang w:val="en-US"/>
        </w:rPr>
        <w:t>This methodology could also sup</w:t>
      </w:r>
      <w:r w:rsidR="004A7BF5" w:rsidRPr="00E971F1">
        <w:rPr>
          <w:rFonts w:ascii="Times New Roman" w:eastAsia="Calibri" w:hAnsi="Times New Roman" w:cs="Times New Roman"/>
          <w:sz w:val="24"/>
          <w:szCs w:val="24"/>
          <w:lang w:val="en-US"/>
        </w:rPr>
        <w:t xml:space="preserve">port students’ motivations and </w:t>
      </w:r>
      <w:r w:rsidRPr="003270B6">
        <w:rPr>
          <w:rFonts w:ascii="Times New Roman" w:eastAsia="Calibri" w:hAnsi="Times New Roman" w:cs="Times New Roman"/>
          <w:sz w:val="24"/>
          <w:szCs w:val="24"/>
          <w:lang w:val="en-US"/>
        </w:rPr>
        <w:t xml:space="preserve">aspirations, avoiding their drop-out and offering them the opportunity to enter the labor market. </w:t>
      </w:r>
    </w:p>
    <w:p w:rsidR="003270B6" w:rsidRPr="003270B6" w:rsidRDefault="003270B6" w:rsidP="003270B6">
      <w:pPr>
        <w:spacing w:after="0" w:line="240" w:lineRule="auto"/>
        <w:jc w:val="both"/>
        <w:rPr>
          <w:rFonts w:ascii="Times New Roman" w:eastAsia="Calibri" w:hAnsi="Times New Roman" w:cs="Times New Roman"/>
          <w:sz w:val="24"/>
          <w:szCs w:val="24"/>
          <w:lang w:val="en-US"/>
        </w:rPr>
      </w:pPr>
      <w:r w:rsidRPr="003270B6">
        <w:rPr>
          <w:rFonts w:ascii="Times New Roman" w:eastAsia="Calibri" w:hAnsi="Times New Roman" w:cs="Times New Roman"/>
          <w:sz w:val="24"/>
          <w:szCs w:val="24"/>
          <w:lang w:val="en-US"/>
        </w:rPr>
        <w:t xml:space="preserve">Other strategies which could be quoted here are those regarding students of foreign origins. These measures are not directed to prevent immigrant students’ drop out, but they focus on their integration according to an approach that valorizes intercultural education. In line with the universalistic approach of the Italian educational system, intercultural education is a mean to promote dialogue and exchange between people who are culturally different, and offer an inclusive school context. The principles of this intercultural approach are contained in the “Guidelines for the reception and integration of foreign students” (Circular letter 24/2006) and in the document “The Italian strategy for the intercultural school and the integration of students of foreign origin” (2007). The two documents provide an overview of actions, measures and recommendations for the integration of foreign students, paying particular attention to language learning. </w:t>
      </w:r>
    </w:p>
    <w:p w:rsidR="003270B6" w:rsidRPr="003270B6" w:rsidRDefault="003270B6" w:rsidP="003270B6">
      <w:pPr>
        <w:spacing w:after="0" w:line="240" w:lineRule="auto"/>
        <w:jc w:val="both"/>
        <w:rPr>
          <w:rFonts w:ascii="Times New Roman" w:eastAsia="Calibri" w:hAnsi="Times New Roman" w:cs="Times New Roman"/>
          <w:sz w:val="24"/>
          <w:szCs w:val="24"/>
          <w:lang w:val="en-US"/>
        </w:rPr>
      </w:pPr>
      <w:r w:rsidRPr="003270B6">
        <w:rPr>
          <w:rFonts w:ascii="Times New Roman" w:eastAsia="Calibri" w:hAnsi="Times New Roman" w:cs="Times New Roman"/>
          <w:sz w:val="24"/>
          <w:szCs w:val="24"/>
          <w:lang w:val="en-US"/>
        </w:rPr>
        <w:t>As regards this aspect, another Circular Letter was enacted in 2008, i.e. the “National Plan for teaching Italian as a second language” (n. 807/2008), aimed at teaching Italian to foreign students who have been in Italy for 2 years (or less). Also these policies have been not directly issued to prevent ESL, but they promote several actions and recommendations in order to help foreign students, particularly as regards their language learning. Besides these measures, every year the Ministry of Education gives funds to schools which are located in high-risk areas or areas where immigrants are concentrated, to av</w:t>
      </w:r>
      <w:r w:rsidR="004A7BF5" w:rsidRPr="00E971F1">
        <w:rPr>
          <w:rFonts w:ascii="Times New Roman" w:eastAsia="Calibri" w:hAnsi="Times New Roman" w:cs="Times New Roman"/>
          <w:sz w:val="24"/>
          <w:szCs w:val="24"/>
          <w:lang w:val="en-US"/>
        </w:rPr>
        <w:t xml:space="preserve">oid students’ marginalization. </w:t>
      </w:r>
      <w:r w:rsidRPr="003270B6">
        <w:rPr>
          <w:rFonts w:ascii="Times New Roman" w:eastAsia="Calibri" w:hAnsi="Times New Roman" w:cs="Times New Roman"/>
          <w:sz w:val="24"/>
          <w:szCs w:val="24"/>
          <w:lang w:val="en-US"/>
        </w:rPr>
        <w:t xml:space="preserve">With reference to this issue, in 2010 a Circular Letter (n.2/2010) was enacted by the Ministry of Education, with the scope of avoiding foreign students’ concentration in certain schools and/or classes. In particular the Circular Letter made Italian school rearrange classes so that foreign students would represent no more than 30% of all students. Actually, the Circular Letter provoked arguments and disagreements among politicians, civil society actors and teaching staff. It had also been unfeasible in many schools where the percentage of foreign students was 50% or more. </w:t>
      </w:r>
    </w:p>
    <w:p w:rsidR="004A7BF5" w:rsidRPr="00E971F1" w:rsidRDefault="003270B6" w:rsidP="003270B6">
      <w:pPr>
        <w:spacing w:after="0" w:line="240" w:lineRule="auto"/>
        <w:jc w:val="both"/>
        <w:rPr>
          <w:rFonts w:ascii="Times New Roman" w:eastAsia="Calibri" w:hAnsi="Times New Roman" w:cs="Times New Roman"/>
          <w:sz w:val="24"/>
          <w:szCs w:val="24"/>
          <w:lang w:val="en-US"/>
        </w:rPr>
      </w:pPr>
      <w:r w:rsidRPr="003270B6">
        <w:rPr>
          <w:rFonts w:ascii="Times New Roman" w:eastAsia="Calibri" w:hAnsi="Times New Roman" w:cs="Times New Roman"/>
          <w:sz w:val="24"/>
          <w:szCs w:val="24"/>
          <w:lang w:val="en-US"/>
        </w:rPr>
        <w:t>The main interventions specifically enacted against early leaving</w:t>
      </w:r>
      <w:r w:rsidRPr="003270B6">
        <w:rPr>
          <w:rFonts w:ascii="Times New Roman" w:eastAsia="Calibri" w:hAnsi="Times New Roman" w:cs="Times New Roman"/>
          <w:b/>
          <w:sz w:val="24"/>
          <w:szCs w:val="24"/>
          <w:lang w:val="en-US"/>
        </w:rPr>
        <w:t xml:space="preserve"> </w:t>
      </w:r>
      <w:r w:rsidRPr="003270B6">
        <w:rPr>
          <w:rFonts w:ascii="Times New Roman" w:eastAsia="Calibri" w:hAnsi="Times New Roman" w:cs="Times New Roman"/>
          <w:sz w:val="24"/>
          <w:szCs w:val="24"/>
          <w:lang w:val="en-US"/>
        </w:rPr>
        <w:t>in the last few years</w:t>
      </w:r>
      <w:r w:rsidRPr="003270B6">
        <w:rPr>
          <w:rFonts w:ascii="Times New Roman" w:eastAsia="Calibri" w:hAnsi="Times New Roman" w:cs="Times New Roman"/>
          <w:b/>
          <w:sz w:val="24"/>
          <w:szCs w:val="24"/>
          <w:lang w:val="en-US"/>
        </w:rPr>
        <w:t xml:space="preserve"> </w:t>
      </w:r>
      <w:r w:rsidRPr="003270B6">
        <w:rPr>
          <w:rFonts w:ascii="Times New Roman" w:eastAsia="Calibri" w:hAnsi="Times New Roman" w:cs="Times New Roman"/>
          <w:sz w:val="24"/>
          <w:szCs w:val="24"/>
          <w:lang w:val="en-US"/>
        </w:rPr>
        <w:t xml:space="preserve">were realized thanks to the National Operational </w:t>
      </w:r>
      <w:proofErr w:type="spellStart"/>
      <w:r w:rsidRPr="003270B6">
        <w:rPr>
          <w:rFonts w:ascii="Times New Roman" w:eastAsia="Calibri" w:hAnsi="Times New Roman" w:cs="Times New Roman"/>
          <w:sz w:val="24"/>
          <w:szCs w:val="24"/>
          <w:lang w:val="en-US"/>
        </w:rPr>
        <w:t>Programmes</w:t>
      </w:r>
      <w:proofErr w:type="spellEnd"/>
      <w:r w:rsidRPr="003270B6">
        <w:rPr>
          <w:rFonts w:ascii="Times New Roman" w:eastAsia="Calibri" w:hAnsi="Times New Roman" w:cs="Times New Roman"/>
          <w:sz w:val="24"/>
          <w:szCs w:val="24"/>
          <w:lang w:val="en-US"/>
        </w:rPr>
        <w:t xml:space="preserve"> (PON) of the Ministry of Education, financed by the European Structural and Investment Funds. </w:t>
      </w:r>
    </w:p>
    <w:p w:rsidR="003270B6" w:rsidRPr="003270B6" w:rsidRDefault="003270B6" w:rsidP="003270B6">
      <w:pPr>
        <w:spacing w:after="0" w:line="240" w:lineRule="auto"/>
        <w:jc w:val="both"/>
        <w:rPr>
          <w:rFonts w:ascii="Times New Roman" w:eastAsia="Calibri" w:hAnsi="Times New Roman" w:cs="Times New Roman"/>
          <w:sz w:val="24"/>
          <w:szCs w:val="24"/>
          <w:lang w:val="en-US"/>
        </w:rPr>
      </w:pPr>
      <w:r w:rsidRPr="003270B6">
        <w:rPr>
          <w:rFonts w:ascii="Times New Roman" w:eastAsia="Calibri" w:hAnsi="Times New Roman" w:cs="Times New Roman"/>
          <w:sz w:val="24"/>
          <w:szCs w:val="24"/>
          <w:lang w:val="en-US"/>
        </w:rPr>
        <w:lastRenderedPageBreak/>
        <w:t xml:space="preserve">The 2002-2006 Operational </w:t>
      </w:r>
      <w:proofErr w:type="spellStart"/>
      <w:r w:rsidRPr="003270B6">
        <w:rPr>
          <w:rFonts w:ascii="Times New Roman" w:eastAsia="Calibri" w:hAnsi="Times New Roman" w:cs="Times New Roman"/>
          <w:sz w:val="24"/>
          <w:szCs w:val="24"/>
          <w:lang w:val="en-US"/>
        </w:rPr>
        <w:t>Programme</w:t>
      </w:r>
      <w:proofErr w:type="spellEnd"/>
      <w:r w:rsidRPr="003270B6">
        <w:rPr>
          <w:rFonts w:ascii="Times New Roman" w:eastAsia="Calibri" w:hAnsi="Times New Roman" w:cs="Times New Roman"/>
          <w:sz w:val="24"/>
          <w:szCs w:val="24"/>
          <w:lang w:val="en-US"/>
        </w:rPr>
        <w:t xml:space="preserve"> on Education implemented some actions against drop-out, whereas the 2007-2013 </w:t>
      </w:r>
      <w:proofErr w:type="spellStart"/>
      <w:r w:rsidRPr="003270B6">
        <w:rPr>
          <w:rFonts w:ascii="Times New Roman" w:eastAsia="Calibri" w:hAnsi="Times New Roman" w:cs="Times New Roman"/>
          <w:sz w:val="24"/>
          <w:szCs w:val="24"/>
          <w:lang w:val="en-US"/>
        </w:rPr>
        <w:t>Programme</w:t>
      </w:r>
      <w:proofErr w:type="spellEnd"/>
      <w:r w:rsidRPr="003270B6">
        <w:rPr>
          <w:rFonts w:ascii="Times New Roman" w:eastAsia="Calibri" w:hAnsi="Times New Roman" w:cs="Times New Roman"/>
          <w:sz w:val="24"/>
          <w:szCs w:val="24"/>
          <w:lang w:val="en-US"/>
        </w:rPr>
        <w:t xml:space="preserve"> provided some specific investments to prevent and reduce early leaving, promoting collaboration between school and civil society actors. The 2014-2020 Operational </w:t>
      </w:r>
      <w:proofErr w:type="spellStart"/>
      <w:r w:rsidRPr="003270B6">
        <w:rPr>
          <w:rFonts w:ascii="Times New Roman" w:eastAsia="Calibri" w:hAnsi="Times New Roman" w:cs="Times New Roman"/>
          <w:sz w:val="24"/>
          <w:szCs w:val="24"/>
          <w:lang w:val="en-US"/>
        </w:rPr>
        <w:t>Programme</w:t>
      </w:r>
      <w:proofErr w:type="spellEnd"/>
      <w:r w:rsidRPr="003270B6">
        <w:rPr>
          <w:rFonts w:ascii="Times New Roman" w:eastAsia="Calibri" w:hAnsi="Times New Roman" w:cs="Times New Roman"/>
          <w:sz w:val="24"/>
          <w:szCs w:val="24"/>
          <w:lang w:val="en-US"/>
        </w:rPr>
        <w:t xml:space="preserve">, building on the experience of the period 2007-2013, will pursue the fight to reduce drop-out and increase the quality of education. </w:t>
      </w:r>
    </w:p>
    <w:p w:rsidR="003270B6" w:rsidRPr="003270B6" w:rsidRDefault="003270B6" w:rsidP="003270B6">
      <w:pPr>
        <w:spacing w:after="0" w:line="240" w:lineRule="auto"/>
        <w:jc w:val="both"/>
        <w:rPr>
          <w:rFonts w:ascii="Times New Roman" w:eastAsia="Calibri" w:hAnsi="Times New Roman" w:cs="Times New Roman"/>
          <w:sz w:val="24"/>
          <w:szCs w:val="24"/>
          <w:lang w:val="en-US"/>
        </w:rPr>
      </w:pPr>
      <w:r w:rsidRPr="003270B6">
        <w:rPr>
          <w:rFonts w:ascii="Times New Roman" w:eastAsia="Calibri" w:hAnsi="Times New Roman" w:cs="Times New Roman"/>
          <w:sz w:val="24"/>
          <w:szCs w:val="24"/>
          <w:lang w:val="en-US"/>
        </w:rPr>
        <w:t xml:space="preserve">Except from the Operational </w:t>
      </w:r>
      <w:proofErr w:type="spellStart"/>
      <w:r w:rsidRPr="003270B6">
        <w:rPr>
          <w:rFonts w:ascii="Times New Roman" w:eastAsia="Calibri" w:hAnsi="Times New Roman" w:cs="Times New Roman"/>
          <w:sz w:val="24"/>
          <w:szCs w:val="24"/>
          <w:lang w:val="en-US"/>
        </w:rPr>
        <w:t>Programmes</w:t>
      </w:r>
      <w:proofErr w:type="spellEnd"/>
      <w:r w:rsidRPr="003270B6">
        <w:rPr>
          <w:rFonts w:ascii="Times New Roman" w:eastAsia="Calibri" w:hAnsi="Times New Roman" w:cs="Times New Roman"/>
          <w:sz w:val="24"/>
          <w:szCs w:val="24"/>
          <w:lang w:val="en-US"/>
        </w:rPr>
        <w:t>, in Italy a comprehensive national action plan to prevent students from leaving the education system early was never implemented.</w:t>
      </w:r>
    </w:p>
    <w:p w:rsidR="003270B6" w:rsidRPr="00E971F1" w:rsidRDefault="003270B6" w:rsidP="004A7BF5">
      <w:pPr>
        <w:spacing w:after="0" w:line="240" w:lineRule="auto"/>
        <w:jc w:val="both"/>
        <w:rPr>
          <w:rFonts w:ascii="Times New Roman" w:eastAsia="Calibri" w:hAnsi="Times New Roman" w:cs="Times New Roman"/>
          <w:sz w:val="24"/>
          <w:szCs w:val="24"/>
          <w:lang w:val="en-US"/>
        </w:rPr>
      </w:pPr>
      <w:r w:rsidRPr="003270B6">
        <w:rPr>
          <w:rFonts w:ascii="Times New Roman" w:eastAsia="Calibri" w:hAnsi="Times New Roman" w:cs="Times New Roman"/>
          <w:sz w:val="24"/>
          <w:szCs w:val="24"/>
          <w:lang w:val="en-US"/>
        </w:rPr>
        <w:t>The recent Law n. 13 July 2015, n. 107, called “</w:t>
      </w:r>
      <w:proofErr w:type="spellStart"/>
      <w:r w:rsidRPr="003270B6">
        <w:rPr>
          <w:rFonts w:ascii="Times New Roman" w:eastAsia="Calibri" w:hAnsi="Times New Roman" w:cs="Times New Roman"/>
          <w:sz w:val="24"/>
          <w:szCs w:val="24"/>
          <w:lang w:val="en-US"/>
        </w:rPr>
        <w:t>Buona</w:t>
      </w:r>
      <w:proofErr w:type="spellEnd"/>
      <w:r w:rsidRPr="003270B6">
        <w:rPr>
          <w:rFonts w:ascii="Times New Roman" w:eastAsia="Calibri" w:hAnsi="Times New Roman" w:cs="Times New Roman"/>
          <w:sz w:val="24"/>
          <w:szCs w:val="24"/>
          <w:lang w:val="en-US"/>
        </w:rPr>
        <w:t xml:space="preserve"> </w:t>
      </w:r>
      <w:proofErr w:type="spellStart"/>
      <w:r w:rsidRPr="003270B6">
        <w:rPr>
          <w:rFonts w:ascii="Times New Roman" w:eastAsia="Calibri" w:hAnsi="Times New Roman" w:cs="Times New Roman"/>
          <w:sz w:val="24"/>
          <w:szCs w:val="24"/>
          <w:lang w:val="en-US"/>
        </w:rPr>
        <w:t>Scuola</w:t>
      </w:r>
      <w:proofErr w:type="spellEnd"/>
      <w:r w:rsidRPr="003270B6">
        <w:rPr>
          <w:rFonts w:ascii="Times New Roman" w:eastAsia="Calibri" w:hAnsi="Times New Roman" w:cs="Times New Roman"/>
          <w:sz w:val="24"/>
          <w:szCs w:val="24"/>
          <w:lang w:val="en-US"/>
        </w:rPr>
        <w:t>”</w:t>
      </w:r>
      <w:r w:rsidR="004A7BF5" w:rsidRPr="00E971F1">
        <w:rPr>
          <w:rFonts w:ascii="Times New Roman" w:eastAsia="Calibri" w:hAnsi="Times New Roman" w:cs="Times New Roman"/>
          <w:sz w:val="24"/>
          <w:szCs w:val="24"/>
          <w:lang w:val="en-US"/>
        </w:rPr>
        <w:t xml:space="preserve"> (</w:t>
      </w:r>
      <w:proofErr w:type="spellStart"/>
      <w:r w:rsidR="004A7BF5" w:rsidRPr="00E971F1">
        <w:rPr>
          <w:rFonts w:ascii="Times New Roman" w:eastAsia="Calibri" w:hAnsi="Times New Roman" w:cs="Times New Roman"/>
          <w:sz w:val="24"/>
          <w:szCs w:val="24"/>
          <w:lang w:val="en-US"/>
        </w:rPr>
        <w:t>trad</w:t>
      </w:r>
      <w:proofErr w:type="spellEnd"/>
      <w:r w:rsidR="004A7BF5" w:rsidRPr="00E971F1">
        <w:rPr>
          <w:rFonts w:ascii="Times New Roman" w:eastAsia="Calibri" w:hAnsi="Times New Roman" w:cs="Times New Roman"/>
          <w:sz w:val="24"/>
          <w:szCs w:val="24"/>
          <w:lang w:val="en-US"/>
        </w:rPr>
        <w:t>. Good School)</w:t>
      </w:r>
      <w:r w:rsidRPr="003270B6">
        <w:rPr>
          <w:rFonts w:ascii="Times New Roman" w:eastAsia="Calibri" w:hAnsi="Times New Roman" w:cs="Times New Roman"/>
          <w:sz w:val="24"/>
          <w:szCs w:val="24"/>
          <w:lang w:val="en-US"/>
        </w:rPr>
        <w:t>, introduced several measures which could contribute to prevent and reduce early leaving. The Law gives more funds to schools and support schools’ autonomy in planning educational programmers; it promotes an extraordinary plan to employ additional teachers; it offers diversified educational pathways, paying attention to developing digital competences, knowledge of different languages, new subjects as economy or sport sciences, etc.).  The Law is very recent, therefore we will wait for a few years to evaluate the benefits of the Law in terms o</w:t>
      </w:r>
      <w:r w:rsidR="004A7BF5" w:rsidRPr="00E971F1">
        <w:rPr>
          <w:rFonts w:ascii="Times New Roman" w:eastAsia="Calibri" w:hAnsi="Times New Roman" w:cs="Times New Roman"/>
          <w:sz w:val="24"/>
          <w:szCs w:val="24"/>
          <w:lang w:val="en-US"/>
        </w:rPr>
        <w:t>f reducing early school leaving.</w:t>
      </w:r>
    </w:p>
    <w:p w:rsidR="003270B6" w:rsidRPr="00E971F1" w:rsidRDefault="003270B6" w:rsidP="00814984">
      <w:pPr>
        <w:pStyle w:val="Normale1"/>
        <w:spacing w:after="0" w:line="240" w:lineRule="auto"/>
        <w:rPr>
          <w:rFonts w:ascii="Times New Roman" w:hAnsi="Times New Roman" w:cs="Times New Roman"/>
          <w:sz w:val="24"/>
          <w:szCs w:val="24"/>
          <w:lang w:val="en-US"/>
        </w:rPr>
      </w:pPr>
    </w:p>
    <w:p w:rsidR="003270B6" w:rsidRPr="00E971F1" w:rsidRDefault="003270B6" w:rsidP="00814984">
      <w:pPr>
        <w:pStyle w:val="Normale1"/>
        <w:spacing w:after="0" w:line="240" w:lineRule="auto"/>
        <w:rPr>
          <w:rFonts w:ascii="Times New Roman" w:hAnsi="Times New Roman" w:cs="Times New Roman"/>
          <w:sz w:val="24"/>
          <w:szCs w:val="24"/>
          <w:lang w:val="en-US"/>
        </w:rPr>
      </w:pPr>
    </w:p>
    <w:p w:rsidR="007B4539" w:rsidRDefault="00164C60" w:rsidP="00E971F1">
      <w:pPr>
        <w:pStyle w:val="Titolo1"/>
        <w:rPr>
          <w:rStyle w:val="Enfasiintensa"/>
          <w:rFonts w:ascii="Times New Roman" w:hAnsi="Times New Roman" w:cs="Times New Roman"/>
          <w:b/>
          <w:i w:val="0"/>
          <w:color w:val="auto"/>
          <w:lang w:val="en-US"/>
        </w:rPr>
      </w:pPr>
      <w:bookmarkStart w:id="4" w:name="_Toc471117703"/>
      <w:r w:rsidRPr="00E971F1">
        <w:rPr>
          <w:rStyle w:val="Enfasiintensa"/>
          <w:rFonts w:ascii="Times New Roman" w:hAnsi="Times New Roman" w:cs="Times New Roman"/>
          <w:b/>
          <w:i w:val="0"/>
          <w:color w:val="auto"/>
          <w:lang w:val="en-US"/>
        </w:rPr>
        <w:t>Governance and cross-sector cooperation in the area of early leaving</w:t>
      </w:r>
      <w:bookmarkEnd w:id="4"/>
    </w:p>
    <w:p w:rsidR="00FF388B" w:rsidRPr="00FF388B" w:rsidRDefault="00FF388B" w:rsidP="00FF388B">
      <w:pPr>
        <w:spacing w:after="0" w:line="240" w:lineRule="auto"/>
        <w:rPr>
          <w:lang w:val="en-US"/>
        </w:rPr>
      </w:pPr>
    </w:p>
    <w:p w:rsidR="001446E8" w:rsidRPr="001446E8" w:rsidRDefault="001446E8" w:rsidP="00FF388B">
      <w:pPr>
        <w:spacing w:after="0" w:line="240" w:lineRule="auto"/>
        <w:jc w:val="both"/>
        <w:rPr>
          <w:rFonts w:ascii="Times New Roman" w:eastAsia="Calibri" w:hAnsi="Times New Roman" w:cs="Times New Roman"/>
          <w:sz w:val="24"/>
          <w:szCs w:val="24"/>
          <w:lang w:val="en-US"/>
        </w:rPr>
      </w:pPr>
      <w:r w:rsidRPr="001446E8">
        <w:rPr>
          <w:rFonts w:ascii="Times New Roman" w:eastAsia="Calibri" w:hAnsi="Times New Roman" w:cs="Times New Roman"/>
          <w:sz w:val="24"/>
          <w:szCs w:val="24"/>
          <w:lang w:val="en-US"/>
        </w:rPr>
        <w:t>A</w:t>
      </w:r>
      <w:r w:rsidRPr="00E971F1">
        <w:rPr>
          <w:rFonts w:ascii="Times New Roman" w:eastAsia="Calibri" w:hAnsi="Times New Roman" w:cs="Times New Roman"/>
          <w:sz w:val="24"/>
          <w:szCs w:val="24"/>
          <w:lang w:val="en-US"/>
        </w:rPr>
        <w:t>s highlighted by the</w:t>
      </w:r>
      <w:r w:rsidRPr="001446E8">
        <w:rPr>
          <w:rFonts w:ascii="Times New Roman" w:eastAsia="Calibri" w:hAnsi="Times New Roman" w:cs="Times New Roman"/>
          <w:sz w:val="24"/>
          <w:szCs w:val="24"/>
          <w:lang w:val="en-US"/>
        </w:rPr>
        <w:t xml:space="preserve"> recent study</w:t>
      </w:r>
      <w:r w:rsidRPr="00E971F1">
        <w:rPr>
          <w:rFonts w:ascii="Times New Roman" w:eastAsia="Calibri" w:hAnsi="Times New Roman" w:cs="Times New Roman"/>
          <w:sz w:val="24"/>
          <w:szCs w:val="24"/>
          <w:lang w:val="en-US"/>
        </w:rPr>
        <w:t xml:space="preserve"> </w:t>
      </w:r>
      <w:r w:rsidRPr="001446E8">
        <w:rPr>
          <w:rFonts w:ascii="Times New Roman" w:eastAsia="Calibri" w:hAnsi="Times New Roman" w:cs="Times New Roman"/>
          <w:i/>
          <w:sz w:val="24"/>
          <w:szCs w:val="24"/>
          <w:lang w:val="en-US"/>
        </w:rPr>
        <w:t>LOST- Early School Leaving: the cost for the community and the role of Third Sector organizations</w:t>
      </w:r>
      <w:r w:rsidR="00BF33BF">
        <w:rPr>
          <w:rFonts w:ascii="Times New Roman" w:eastAsia="Calibri" w:hAnsi="Times New Roman" w:cs="Times New Roman"/>
          <w:sz w:val="24"/>
          <w:szCs w:val="24"/>
          <w:lang w:val="en-US"/>
        </w:rPr>
        <w:t xml:space="preserve"> (2014) </w:t>
      </w:r>
      <w:r w:rsidRPr="001446E8">
        <w:rPr>
          <w:rFonts w:ascii="Times New Roman" w:eastAsia="Calibri" w:hAnsi="Times New Roman" w:cs="Times New Roman"/>
          <w:sz w:val="24"/>
          <w:szCs w:val="24"/>
          <w:lang w:val="en-US"/>
        </w:rPr>
        <w:t xml:space="preserve">carried out by WeWorld, Fondazione Giovanni </w:t>
      </w:r>
      <w:proofErr w:type="spellStart"/>
      <w:r w:rsidRPr="001446E8">
        <w:rPr>
          <w:rFonts w:ascii="Times New Roman" w:eastAsia="Calibri" w:hAnsi="Times New Roman" w:cs="Times New Roman"/>
          <w:sz w:val="24"/>
          <w:szCs w:val="24"/>
          <w:lang w:val="en-US"/>
        </w:rPr>
        <w:t>Agnelli</w:t>
      </w:r>
      <w:proofErr w:type="spellEnd"/>
      <w:r w:rsidRPr="001446E8">
        <w:rPr>
          <w:rFonts w:ascii="Times New Roman" w:eastAsia="Calibri" w:hAnsi="Times New Roman" w:cs="Times New Roman"/>
          <w:sz w:val="24"/>
          <w:szCs w:val="24"/>
          <w:lang w:val="en-US"/>
        </w:rPr>
        <w:t xml:space="preserve"> e Ass. Bruno </w:t>
      </w:r>
      <w:proofErr w:type="spellStart"/>
      <w:r w:rsidRPr="001446E8">
        <w:rPr>
          <w:rFonts w:ascii="Times New Roman" w:eastAsia="Calibri" w:hAnsi="Times New Roman" w:cs="Times New Roman"/>
          <w:sz w:val="24"/>
          <w:szCs w:val="24"/>
          <w:lang w:val="en-US"/>
        </w:rPr>
        <w:t>Trentin</w:t>
      </w:r>
      <w:proofErr w:type="spellEnd"/>
      <w:r w:rsidRPr="00E971F1">
        <w:rPr>
          <w:rFonts w:ascii="Times New Roman" w:eastAsia="Calibri" w:hAnsi="Times New Roman" w:cs="Times New Roman"/>
          <w:sz w:val="24"/>
          <w:szCs w:val="24"/>
          <w:lang w:val="en-US"/>
        </w:rPr>
        <w:t>,</w:t>
      </w:r>
      <w:r w:rsidRPr="001446E8">
        <w:rPr>
          <w:rFonts w:ascii="Times New Roman" w:eastAsia="Calibri" w:hAnsi="Times New Roman" w:cs="Times New Roman"/>
          <w:sz w:val="24"/>
          <w:szCs w:val="24"/>
          <w:lang w:val="en-US"/>
        </w:rPr>
        <w:t xml:space="preserve"> it’s hard to find in Italy cross sector cooperation concerning ESL interventions.</w:t>
      </w:r>
    </w:p>
    <w:p w:rsidR="001446E8" w:rsidRPr="00E971F1" w:rsidRDefault="001446E8" w:rsidP="001446E8">
      <w:pPr>
        <w:spacing w:after="0" w:line="240" w:lineRule="auto"/>
        <w:jc w:val="both"/>
        <w:rPr>
          <w:rFonts w:ascii="Times New Roman" w:eastAsia="Calibri" w:hAnsi="Times New Roman" w:cs="Times New Roman"/>
          <w:sz w:val="24"/>
          <w:szCs w:val="24"/>
          <w:lang w:val="en-US"/>
        </w:rPr>
      </w:pPr>
      <w:r w:rsidRPr="001446E8">
        <w:rPr>
          <w:rFonts w:ascii="Times New Roman" w:eastAsia="Calibri" w:hAnsi="Times New Roman" w:cs="Times New Roman"/>
          <w:sz w:val="24"/>
          <w:szCs w:val="24"/>
          <w:lang w:val="en-US"/>
        </w:rPr>
        <w:t xml:space="preserve">Third sector organizations have been tackling ESL for decades, but interventions are mainly based on singular initiatives, with very diverse backgrounds, as far as organizational structure and economic dimensions of associations are concerned. </w:t>
      </w:r>
    </w:p>
    <w:p w:rsidR="001446E8" w:rsidRPr="001446E8" w:rsidRDefault="001446E8" w:rsidP="001446E8">
      <w:pPr>
        <w:spacing w:after="0" w:line="240" w:lineRule="auto"/>
        <w:jc w:val="both"/>
        <w:rPr>
          <w:rFonts w:ascii="Times New Roman" w:eastAsia="Calibri" w:hAnsi="Times New Roman" w:cs="Times New Roman"/>
          <w:sz w:val="24"/>
          <w:szCs w:val="24"/>
          <w:lang w:val="en-US"/>
        </w:rPr>
      </w:pPr>
      <w:r w:rsidRPr="001446E8">
        <w:rPr>
          <w:rFonts w:ascii="Times New Roman" w:eastAsia="Calibri" w:hAnsi="Times New Roman" w:cs="Times New Roman"/>
          <w:sz w:val="24"/>
          <w:szCs w:val="24"/>
          <w:lang w:val="en-US"/>
        </w:rPr>
        <w:t>Voluntary work is also largely widespread. Throughout Italy, the kind of intervention significantly differs from North to South, depending on different contexts and thus approaches: focus in the north is on activities supporting study and individual tutoring, whereas in the south after- school activities are mainly conceived as social and recreational opportunities.</w:t>
      </w:r>
    </w:p>
    <w:p w:rsidR="001446E8" w:rsidRPr="001446E8" w:rsidRDefault="001446E8" w:rsidP="001446E8">
      <w:pPr>
        <w:spacing w:after="0" w:line="240" w:lineRule="auto"/>
        <w:jc w:val="both"/>
        <w:rPr>
          <w:rFonts w:ascii="Times New Roman" w:eastAsia="Calibri" w:hAnsi="Times New Roman" w:cs="Times New Roman"/>
          <w:sz w:val="24"/>
          <w:szCs w:val="24"/>
          <w:lang w:val="en-US"/>
        </w:rPr>
      </w:pPr>
      <w:r w:rsidRPr="001446E8">
        <w:rPr>
          <w:rFonts w:ascii="Times New Roman" w:eastAsia="Calibri" w:hAnsi="Times New Roman" w:cs="Times New Roman"/>
          <w:sz w:val="24"/>
          <w:szCs w:val="24"/>
          <w:lang w:val="en-US"/>
        </w:rPr>
        <w:t xml:space="preserve">Schools develop apparently independent projects from Third Sector, based on government or local funds, with the risk of implementing “emergency” or short-term similar initiatives leading to a far lower impact. </w:t>
      </w:r>
      <w:r w:rsidRPr="00E971F1">
        <w:rPr>
          <w:rFonts w:ascii="Times New Roman" w:eastAsia="Calibri" w:hAnsi="Times New Roman" w:cs="Times New Roman"/>
          <w:sz w:val="24"/>
          <w:szCs w:val="24"/>
          <w:lang w:val="en-US"/>
        </w:rPr>
        <w:t>Furthermore</w:t>
      </w:r>
      <w:r w:rsidRPr="001446E8">
        <w:rPr>
          <w:rFonts w:ascii="Times New Roman" w:eastAsia="Calibri" w:hAnsi="Times New Roman" w:cs="Times New Roman"/>
          <w:sz w:val="24"/>
          <w:szCs w:val="24"/>
          <w:lang w:val="en-US"/>
        </w:rPr>
        <w:t xml:space="preserve">, another </w:t>
      </w:r>
      <w:r w:rsidRPr="00E971F1">
        <w:rPr>
          <w:rFonts w:ascii="Times New Roman" w:eastAsia="Calibri" w:hAnsi="Times New Roman" w:cs="Times New Roman"/>
          <w:sz w:val="24"/>
          <w:szCs w:val="24"/>
          <w:lang w:val="en-US"/>
        </w:rPr>
        <w:t xml:space="preserve">emerging </w:t>
      </w:r>
      <w:r w:rsidRPr="001446E8">
        <w:rPr>
          <w:rFonts w:ascii="Times New Roman" w:eastAsia="Calibri" w:hAnsi="Times New Roman" w:cs="Times New Roman"/>
          <w:sz w:val="24"/>
          <w:szCs w:val="24"/>
          <w:lang w:val="en-US"/>
        </w:rPr>
        <w:t>issue is that of the lack of acceptance and acknowledgment of mutual roles and expertise between school staff and educational workers.</w:t>
      </w:r>
    </w:p>
    <w:p w:rsidR="001446E8" w:rsidRPr="001446E8" w:rsidRDefault="001446E8" w:rsidP="001446E8">
      <w:pPr>
        <w:spacing w:after="0" w:line="240" w:lineRule="auto"/>
        <w:jc w:val="both"/>
        <w:rPr>
          <w:rFonts w:ascii="Times New Roman" w:eastAsia="Calibri" w:hAnsi="Times New Roman" w:cs="Times New Roman"/>
          <w:sz w:val="24"/>
          <w:szCs w:val="24"/>
          <w:lang w:val="en-US"/>
        </w:rPr>
      </w:pPr>
      <w:r w:rsidRPr="001446E8">
        <w:rPr>
          <w:rFonts w:ascii="Times New Roman" w:eastAsia="Calibri" w:hAnsi="Times New Roman" w:cs="Times New Roman"/>
          <w:sz w:val="24"/>
          <w:szCs w:val="24"/>
          <w:lang w:val="en-US"/>
        </w:rPr>
        <w:t xml:space="preserve">Nevertheless, in the last </w:t>
      </w:r>
      <w:r w:rsidRPr="00E971F1">
        <w:rPr>
          <w:rFonts w:ascii="Times New Roman" w:eastAsia="Calibri" w:hAnsi="Times New Roman" w:cs="Times New Roman"/>
          <w:sz w:val="24"/>
          <w:szCs w:val="24"/>
          <w:lang w:val="en-US"/>
        </w:rPr>
        <w:t xml:space="preserve">few </w:t>
      </w:r>
      <w:r w:rsidRPr="001446E8">
        <w:rPr>
          <w:rFonts w:ascii="Times New Roman" w:eastAsia="Calibri" w:hAnsi="Times New Roman" w:cs="Times New Roman"/>
          <w:sz w:val="24"/>
          <w:szCs w:val="24"/>
          <w:lang w:val="en-US"/>
        </w:rPr>
        <w:t>years there was an effort, both from public and private sector, to promote projects on ESL aimed at building a cooperative network among different agencies located in the same territories, so as to strive for a unique goal, thus strengthening the so-called educational community and empowering each single actor involved towards a common good.</w:t>
      </w:r>
    </w:p>
    <w:p w:rsidR="001446E8" w:rsidRPr="001446E8" w:rsidRDefault="001446E8" w:rsidP="001446E8">
      <w:pPr>
        <w:spacing w:after="0" w:line="240" w:lineRule="auto"/>
        <w:jc w:val="both"/>
        <w:rPr>
          <w:rFonts w:ascii="Times New Roman" w:eastAsia="Calibri" w:hAnsi="Times New Roman" w:cs="Times New Roman"/>
          <w:sz w:val="24"/>
          <w:szCs w:val="24"/>
          <w:lang w:val="en-US"/>
        </w:rPr>
      </w:pPr>
      <w:r w:rsidRPr="001446E8">
        <w:rPr>
          <w:rFonts w:ascii="Times New Roman" w:eastAsia="Calibri" w:hAnsi="Times New Roman" w:cs="Times New Roman"/>
          <w:sz w:val="24"/>
          <w:szCs w:val="24"/>
          <w:lang w:val="en-US"/>
        </w:rPr>
        <w:lastRenderedPageBreak/>
        <w:t xml:space="preserve">The most recent and representative example is a new experimental initiative planned in the last Italian financial law, concerning the establishment of a fund against educational poverty (150 million euros per year, for 3 years), </w:t>
      </w:r>
      <w:r w:rsidRPr="00E971F1">
        <w:rPr>
          <w:rFonts w:ascii="Times New Roman" w:eastAsia="Calibri" w:hAnsi="Times New Roman" w:cs="Times New Roman"/>
          <w:sz w:val="24"/>
          <w:szCs w:val="24"/>
          <w:lang w:val="en-US"/>
        </w:rPr>
        <w:t>fueled</w:t>
      </w:r>
      <w:r w:rsidRPr="001446E8">
        <w:rPr>
          <w:rFonts w:ascii="Times New Roman" w:eastAsia="Calibri" w:hAnsi="Times New Roman" w:cs="Times New Roman"/>
          <w:sz w:val="24"/>
          <w:szCs w:val="24"/>
          <w:lang w:val="en-US"/>
        </w:rPr>
        <w:t xml:space="preserve"> by payments made by banking foundations. Early school leaving becomes an issue included in a larger and multidimensional context to be tackled: educational poverty is defined as “the impossibility for children and teenagers to learn, experiment, develop and freely foster their capacities, talents and aspirations”. This deprivation implies a serious limit to the development of cognitive, social and relational skills which are fundamental for future wellness, for working success and for permitting an active participation in the economy and more generally speaking, in new generations’ society. </w:t>
      </w:r>
    </w:p>
    <w:p w:rsidR="001446E8" w:rsidRPr="001446E8" w:rsidRDefault="001446E8" w:rsidP="001446E8">
      <w:pPr>
        <w:spacing w:after="0" w:line="240" w:lineRule="auto"/>
        <w:jc w:val="both"/>
        <w:rPr>
          <w:rFonts w:ascii="Times New Roman" w:eastAsia="Calibri" w:hAnsi="Times New Roman" w:cs="Times New Roman"/>
          <w:sz w:val="24"/>
          <w:szCs w:val="24"/>
          <w:lang w:val="en-US"/>
        </w:rPr>
      </w:pPr>
      <w:r w:rsidRPr="001446E8">
        <w:rPr>
          <w:rFonts w:ascii="Times New Roman" w:eastAsia="Calibri" w:hAnsi="Times New Roman" w:cs="Times New Roman"/>
          <w:sz w:val="24"/>
          <w:szCs w:val="24"/>
          <w:lang w:val="en-US"/>
        </w:rPr>
        <w:t>Educational poverty is seen as a responsibility of the whole community, including families, teachers, institutions and third sector organizations. Regional and national multi-stakeholders networks are fostered, in order to cooperate and coordinate each other for the creation of inclusive environments.</w:t>
      </w:r>
      <w:r w:rsidRPr="00E971F1">
        <w:rPr>
          <w:rFonts w:ascii="Times New Roman" w:eastAsia="Calibri" w:hAnsi="Times New Roman" w:cs="Times New Roman"/>
          <w:sz w:val="24"/>
          <w:szCs w:val="24"/>
          <w:lang w:val="en-US"/>
        </w:rPr>
        <w:t xml:space="preserve"> </w:t>
      </w:r>
      <w:r w:rsidRPr="001446E8">
        <w:rPr>
          <w:rFonts w:ascii="Times New Roman" w:eastAsia="Calibri" w:hAnsi="Times New Roman" w:cs="Times New Roman"/>
          <w:sz w:val="24"/>
          <w:szCs w:val="24"/>
          <w:lang w:val="en-US"/>
        </w:rPr>
        <w:t xml:space="preserve">Indeed, priority is </w:t>
      </w:r>
      <w:r w:rsidRPr="00E971F1">
        <w:rPr>
          <w:rFonts w:ascii="Times New Roman" w:eastAsia="Calibri" w:hAnsi="Times New Roman" w:cs="Times New Roman"/>
          <w:sz w:val="24"/>
          <w:szCs w:val="24"/>
          <w:lang w:val="en-US"/>
        </w:rPr>
        <w:t>given to projects promoting the</w:t>
      </w:r>
      <w:r w:rsidRPr="001446E8">
        <w:rPr>
          <w:rFonts w:ascii="Times New Roman" w:eastAsia="Calibri" w:hAnsi="Times New Roman" w:cs="Times New Roman"/>
          <w:sz w:val="24"/>
          <w:szCs w:val="24"/>
          <w:lang w:val="en-US"/>
        </w:rPr>
        <w:t xml:space="preserve"> involvement of schools and families already in the preliminary phase of project planning, through active participation.</w:t>
      </w:r>
    </w:p>
    <w:p w:rsidR="001446E8" w:rsidRPr="001446E8" w:rsidRDefault="001446E8" w:rsidP="001446E8">
      <w:pPr>
        <w:spacing w:after="0" w:line="240" w:lineRule="auto"/>
        <w:jc w:val="both"/>
        <w:rPr>
          <w:rFonts w:ascii="Times New Roman" w:eastAsia="Calibri" w:hAnsi="Times New Roman" w:cs="Times New Roman"/>
          <w:sz w:val="24"/>
          <w:szCs w:val="24"/>
          <w:lang w:val="en-US"/>
        </w:rPr>
      </w:pPr>
      <w:r w:rsidRPr="001446E8">
        <w:rPr>
          <w:rFonts w:ascii="Times New Roman" w:eastAsia="Calibri" w:hAnsi="Times New Roman" w:cs="Times New Roman"/>
          <w:sz w:val="24"/>
          <w:szCs w:val="24"/>
          <w:lang w:val="en-US"/>
        </w:rPr>
        <w:t>Another action linked to the crucial role of schools as core hub of the community is the “Open schools” initiative promoted by the Italian Ministry of Education with a call for tender launched in September 2016, investing €240 million. The objective is to provide schools with funding allowing them to keep open in the afternoon for extracurricular activities mostly aimed at improving the so-called “soft-skills” through alternative learning: creative labs based on sport, theatre, music, art, digital skills and foreign languages. Schools are thus supposed to renovate their essential role not only concerning education, but also, in a bigger picture, as reference points for the community, able to respond to local stakeholders’ needs.</w:t>
      </w:r>
    </w:p>
    <w:p w:rsidR="007B4539" w:rsidRPr="00E971F1" w:rsidRDefault="007B4539" w:rsidP="00814984">
      <w:pPr>
        <w:pStyle w:val="Normale1"/>
        <w:spacing w:after="0" w:line="240" w:lineRule="auto"/>
        <w:jc w:val="both"/>
        <w:rPr>
          <w:rFonts w:ascii="Times New Roman" w:hAnsi="Times New Roman" w:cs="Times New Roman"/>
          <w:sz w:val="24"/>
          <w:szCs w:val="24"/>
          <w:lang w:val="en-US"/>
        </w:rPr>
      </w:pPr>
    </w:p>
    <w:p w:rsidR="007B4539" w:rsidRPr="00FF388B" w:rsidRDefault="00164C60" w:rsidP="00920EEB">
      <w:pPr>
        <w:pStyle w:val="Titolo1"/>
        <w:jc w:val="both"/>
        <w:rPr>
          <w:rStyle w:val="Enfasiintensa"/>
          <w:rFonts w:ascii="Times New Roman" w:hAnsi="Times New Roman" w:cs="Times New Roman"/>
          <w:b/>
          <w:bCs/>
          <w:i w:val="0"/>
          <w:iCs w:val="0"/>
          <w:color w:val="auto"/>
          <w:lang w:val="en-US"/>
        </w:rPr>
      </w:pPr>
      <w:bookmarkStart w:id="5" w:name="_Toc471117704"/>
      <w:r w:rsidRPr="00FF388B">
        <w:rPr>
          <w:rStyle w:val="Enfasiintensa"/>
          <w:rFonts w:ascii="Times New Roman" w:hAnsi="Times New Roman" w:cs="Times New Roman"/>
          <w:b/>
          <w:bCs/>
          <w:i w:val="0"/>
          <w:iCs w:val="0"/>
          <w:color w:val="auto"/>
          <w:lang w:val="en-US"/>
        </w:rPr>
        <w:t>The role of education in tackling early leaving: examples of good practices and case analysis</w:t>
      </w:r>
      <w:bookmarkEnd w:id="5"/>
    </w:p>
    <w:p w:rsidR="007B4539" w:rsidRPr="00E971F1" w:rsidRDefault="007B4539" w:rsidP="00814984">
      <w:pPr>
        <w:pStyle w:val="Normale1"/>
        <w:spacing w:after="0" w:line="240" w:lineRule="auto"/>
        <w:rPr>
          <w:rFonts w:ascii="Times New Roman" w:hAnsi="Times New Roman" w:cs="Times New Roman"/>
          <w:sz w:val="24"/>
          <w:szCs w:val="24"/>
          <w:lang w:val="en-US"/>
        </w:rPr>
      </w:pPr>
    </w:p>
    <w:p w:rsidR="00EC504C" w:rsidRPr="00EC504C" w:rsidRDefault="00EC504C" w:rsidP="00EC504C">
      <w:pPr>
        <w:spacing w:after="0" w:line="240" w:lineRule="auto"/>
        <w:jc w:val="both"/>
        <w:rPr>
          <w:rFonts w:ascii="Times New Roman" w:eastAsia="Calibri" w:hAnsi="Times New Roman" w:cs="Times New Roman"/>
          <w:sz w:val="24"/>
          <w:szCs w:val="24"/>
          <w:lang w:val="en-US"/>
        </w:rPr>
      </w:pPr>
      <w:r w:rsidRPr="00EC504C">
        <w:rPr>
          <w:rFonts w:ascii="Times New Roman" w:eastAsia="Calibri" w:hAnsi="Times New Roman" w:cs="Times New Roman"/>
          <w:i/>
          <w:sz w:val="24"/>
          <w:szCs w:val="24"/>
          <w:lang w:val="en-US"/>
        </w:rPr>
        <w:t>Frequenza200</w:t>
      </w:r>
      <w:r w:rsidRPr="00EC504C">
        <w:rPr>
          <w:rFonts w:ascii="Times New Roman" w:eastAsia="Calibri" w:hAnsi="Times New Roman" w:cs="Times New Roman"/>
          <w:sz w:val="24"/>
          <w:szCs w:val="24"/>
          <w:lang w:val="en-US"/>
        </w:rPr>
        <w:t xml:space="preserve"> is a national </w:t>
      </w:r>
      <w:proofErr w:type="spellStart"/>
      <w:r w:rsidRPr="00EC504C">
        <w:rPr>
          <w:rFonts w:ascii="Times New Roman" w:eastAsia="Calibri" w:hAnsi="Times New Roman" w:cs="Times New Roman"/>
          <w:sz w:val="24"/>
          <w:szCs w:val="24"/>
          <w:lang w:val="en-US"/>
        </w:rPr>
        <w:t>programme</w:t>
      </w:r>
      <w:proofErr w:type="spellEnd"/>
      <w:r w:rsidRPr="00EC504C">
        <w:rPr>
          <w:rFonts w:ascii="Times New Roman" w:eastAsia="Calibri" w:hAnsi="Times New Roman" w:cs="Times New Roman"/>
          <w:sz w:val="24"/>
          <w:szCs w:val="24"/>
          <w:lang w:val="en-US"/>
        </w:rPr>
        <w:t xml:space="preserve"> promoted by WeWorld, aimed at preventing and fighting ESL, carried out across 7 regions throughout Italy, mainly in urban areas. It is targeted to children and teen-agers aged 8-13 (primary and lower secondary school) and it is based on a common model, then tailored to each local context, implying 4 levels of intervention, basically in line with the idea of giving value to each individual educational agency in the </w:t>
      </w:r>
      <w:r w:rsidRPr="00E971F1">
        <w:rPr>
          <w:rFonts w:ascii="Times New Roman" w:eastAsia="Calibri" w:hAnsi="Times New Roman" w:cs="Times New Roman"/>
          <w:sz w:val="24"/>
          <w:szCs w:val="24"/>
          <w:lang w:val="en-US"/>
        </w:rPr>
        <w:t>neighborhood</w:t>
      </w:r>
      <w:r w:rsidRPr="00EC504C">
        <w:rPr>
          <w:rFonts w:ascii="Times New Roman" w:eastAsia="Calibri" w:hAnsi="Times New Roman" w:cs="Times New Roman"/>
          <w:sz w:val="24"/>
          <w:szCs w:val="24"/>
          <w:lang w:val="en-US"/>
        </w:rPr>
        <w:t xml:space="preserve">: students at risk of dropping out, school, family and community at large. </w:t>
      </w:r>
    </w:p>
    <w:p w:rsidR="00EC504C" w:rsidRPr="00EC504C" w:rsidRDefault="00EC504C" w:rsidP="00EC504C">
      <w:pPr>
        <w:spacing w:after="0" w:line="240" w:lineRule="auto"/>
        <w:jc w:val="both"/>
        <w:rPr>
          <w:rFonts w:ascii="Times New Roman" w:eastAsia="Calibri" w:hAnsi="Times New Roman" w:cs="Times New Roman"/>
          <w:sz w:val="24"/>
          <w:szCs w:val="24"/>
          <w:lang w:val="en-US"/>
        </w:rPr>
      </w:pPr>
      <w:r w:rsidRPr="00EC504C">
        <w:rPr>
          <w:rFonts w:ascii="Times New Roman" w:eastAsia="Calibri" w:hAnsi="Times New Roman" w:cs="Times New Roman"/>
          <w:sz w:val="24"/>
          <w:szCs w:val="24"/>
          <w:lang w:val="en-US"/>
        </w:rPr>
        <w:t xml:space="preserve">Core activities, carried out within an after-school hub serving also as the territorial point of reference, mainly consist of tutoring and study support, a wide variety of social and recreational activities improving soft skills, school and vocational guidance. At school, focus is set on global </w:t>
      </w:r>
      <w:r w:rsidRPr="00EC504C">
        <w:rPr>
          <w:rFonts w:ascii="Times New Roman" w:eastAsia="Calibri" w:hAnsi="Times New Roman" w:cs="Times New Roman"/>
          <w:sz w:val="24"/>
          <w:szCs w:val="24"/>
          <w:lang w:val="en-US"/>
        </w:rPr>
        <w:lastRenderedPageBreak/>
        <w:t xml:space="preserve">education and non-formal education, with a particular attention to teachers, concerning common planning and training on inclusive methodologies. Families are involved and engaged in activities at Frequenza200 </w:t>
      </w:r>
      <w:proofErr w:type="spellStart"/>
      <w:r w:rsidRPr="00EC504C">
        <w:rPr>
          <w:rFonts w:ascii="Times New Roman" w:eastAsia="Calibri" w:hAnsi="Times New Roman" w:cs="Times New Roman"/>
          <w:sz w:val="24"/>
          <w:szCs w:val="24"/>
          <w:lang w:val="en-US"/>
        </w:rPr>
        <w:t>centres</w:t>
      </w:r>
      <w:proofErr w:type="spellEnd"/>
      <w:r w:rsidRPr="00EC504C">
        <w:rPr>
          <w:rFonts w:ascii="Times New Roman" w:eastAsia="Calibri" w:hAnsi="Times New Roman" w:cs="Times New Roman"/>
          <w:sz w:val="24"/>
          <w:szCs w:val="24"/>
          <w:lang w:val="en-US"/>
        </w:rPr>
        <w:t xml:space="preserve">, but they also receive tutoring, psychological support and counselling on </w:t>
      </w:r>
      <w:r w:rsidRPr="00E971F1">
        <w:rPr>
          <w:rFonts w:ascii="Times New Roman" w:eastAsia="Calibri" w:hAnsi="Times New Roman" w:cs="Times New Roman"/>
          <w:sz w:val="24"/>
          <w:szCs w:val="24"/>
          <w:lang w:val="en-US"/>
        </w:rPr>
        <w:t>parental skills. In a wider perspective, the</w:t>
      </w:r>
      <w:r w:rsidRPr="00EC504C">
        <w:rPr>
          <w:rFonts w:ascii="Times New Roman" w:eastAsia="Calibri" w:hAnsi="Times New Roman" w:cs="Times New Roman"/>
          <w:sz w:val="24"/>
          <w:szCs w:val="24"/>
          <w:lang w:val="en-US"/>
        </w:rPr>
        <w:t xml:space="preserve"> aim is that to make the whole </w:t>
      </w:r>
      <w:r w:rsidRPr="00E971F1">
        <w:rPr>
          <w:rFonts w:ascii="Times New Roman" w:eastAsia="Calibri" w:hAnsi="Times New Roman" w:cs="Times New Roman"/>
          <w:sz w:val="24"/>
          <w:szCs w:val="24"/>
          <w:lang w:val="en-US"/>
        </w:rPr>
        <w:t>neighborhood</w:t>
      </w:r>
      <w:r w:rsidRPr="00EC504C">
        <w:rPr>
          <w:rFonts w:ascii="Times New Roman" w:eastAsia="Calibri" w:hAnsi="Times New Roman" w:cs="Times New Roman"/>
          <w:sz w:val="24"/>
          <w:szCs w:val="24"/>
          <w:lang w:val="en-US"/>
        </w:rPr>
        <w:t xml:space="preserve"> (including both citizens and organizations) become sensitized and aware of the project’s goals, thus taking in charge the promotion of education, as far as each can do that within the territory.</w:t>
      </w:r>
    </w:p>
    <w:p w:rsidR="00EC504C" w:rsidRPr="00EC504C" w:rsidRDefault="00EC504C" w:rsidP="00EC504C">
      <w:pPr>
        <w:spacing w:after="0" w:line="240" w:lineRule="auto"/>
        <w:jc w:val="both"/>
        <w:rPr>
          <w:rFonts w:ascii="Times New Roman" w:eastAsia="Calibri" w:hAnsi="Times New Roman" w:cs="Times New Roman"/>
          <w:sz w:val="24"/>
          <w:szCs w:val="24"/>
          <w:lang w:val="en-US"/>
        </w:rPr>
      </w:pPr>
      <w:r w:rsidRPr="00EC504C">
        <w:rPr>
          <w:rFonts w:ascii="Times New Roman" w:eastAsia="Calibri" w:hAnsi="Times New Roman" w:cs="Times New Roman"/>
          <w:i/>
          <w:sz w:val="24"/>
          <w:szCs w:val="24"/>
          <w:lang w:val="en-US"/>
        </w:rPr>
        <w:t>Frequenza200</w:t>
      </w:r>
      <w:r w:rsidRPr="00EC504C">
        <w:rPr>
          <w:rFonts w:ascii="Times New Roman" w:eastAsia="Calibri" w:hAnsi="Times New Roman" w:cs="Times New Roman"/>
          <w:sz w:val="24"/>
          <w:szCs w:val="24"/>
          <w:lang w:val="en-US"/>
        </w:rPr>
        <w:t xml:space="preserve"> started in 2012, up to now it has involved 5.335 students, 1.700 families and 1.308 school teachers.</w:t>
      </w:r>
    </w:p>
    <w:p w:rsidR="00EC504C" w:rsidRPr="00E971F1" w:rsidRDefault="00EC504C" w:rsidP="00EC504C">
      <w:pPr>
        <w:spacing w:after="0" w:line="240" w:lineRule="auto"/>
        <w:jc w:val="both"/>
        <w:rPr>
          <w:rFonts w:ascii="Times New Roman" w:eastAsia="Calibri" w:hAnsi="Times New Roman" w:cs="Times New Roman"/>
          <w:sz w:val="24"/>
          <w:szCs w:val="24"/>
          <w:lang w:val="en-US"/>
        </w:rPr>
      </w:pPr>
      <w:r w:rsidRPr="00EC504C">
        <w:rPr>
          <w:rFonts w:ascii="Times New Roman" w:eastAsia="Calibri" w:hAnsi="Times New Roman" w:cs="Times New Roman"/>
          <w:sz w:val="24"/>
          <w:szCs w:val="24"/>
          <w:lang w:val="en-US"/>
        </w:rPr>
        <w:t>It proved to be a good practice, thanks to steady monitoring of results and activities through both quantitati</w:t>
      </w:r>
      <w:r w:rsidRPr="00E971F1">
        <w:rPr>
          <w:rFonts w:ascii="Times New Roman" w:eastAsia="Calibri" w:hAnsi="Times New Roman" w:cs="Times New Roman"/>
          <w:sz w:val="24"/>
          <w:szCs w:val="24"/>
          <w:lang w:val="en-US"/>
        </w:rPr>
        <w:t xml:space="preserve">ve and qualitative indicators. </w:t>
      </w:r>
      <w:r w:rsidRPr="00EC504C">
        <w:rPr>
          <w:rFonts w:ascii="Times New Roman" w:eastAsia="Calibri" w:hAnsi="Times New Roman" w:cs="Times New Roman"/>
          <w:sz w:val="24"/>
          <w:szCs w:val="24"/>
          <w:lang w:val="en-US"/>
        </w:rPr>
        <w:t>The majority of children and teenagers enrolled (more than 90%) regularly participate to Frequenza200 activities, turning out an improvement of motivation, self-esteem and social skills</w:t>
      </w:r>
      <w:r w:rsidRPr="00E971F1">
        <w:rPr>
          <w:rFonts w:ascii="Times New Roman" w:eastAsia="Calibri" w:hAnsi="Times New Roman" w:cs="Times New Roman"/>
          <w:sz w:val="24"/>
          <w:szCs w:val="24"/>
          <w:lang w:val="en-US"/>
        </w:rPr>
        <w:t xml:space="preserve">. </w:t>
      </w:r>
    </w:p>
    <w:p w:rsidR="00EC504C" w:rsidRPr="00EC504C" w:rsidRDefault="00EC504C" w:rsidP="00EC504C">
      <w:pPr>
        <w:spacing w:after="0" w:line="240" w:lineRule="auto"/>
        <w:jc w:val="both"/>
        <w:rPr>
          <w:rFonts w:ascii="Times New Roman" w:eastAsia="Calibri" w:hAnsi="Times New Roman" w:cs="Times New Roman"/>
          <w:sz w:val="24"/>
          <w:szCs w:val="24"/>
          <w:lang w:val="en-US"/>
        </w:rPr>
      </w:pPr>
      <w:r w:rsidRPr="00E971F1">
        <w:rPr>
          <w:rFonts w:ascii="Times New Roman" w:eastAsia="Calibri" w:hAnsi="Times New Roman" w:cs="Times New Roman"/>
          <w:sz w:val="24"/>
          <w:szCs w:val="24"/>
          <w:lang w:val="en-US"/>
        </w:rPr>
        <w:t>S</w:t>
      </w:r>
      <w:r w:rsidRPr="00EC504C">
        <w:rPr>
          <w:rFonts w:ascii="Times New Roman" w:eastAsia="Calibri" w:hAnsi="Times New Roman" w:cs="Times New Roman"/>
          <w:sz w:val="24"/>
          <w:szCs w:val="24"/>
          <w:lang w:val="en-US"/>
        </w:rPr>
        <w:t xml:space="preserve">chool results validate individual cases: 92% of students attending the </w:t>
      </w:r>
      <w:proofErr w:type="spellStart"/>
      <w:r w:rsidRPr="00EC504C">
        <w:rPr>
          <w:rFonts w:ascii="Times New Roman" w:eastAsia="Calibri" w:hAnsi="Times New Roman" w:cs="Times New Roman"/>
          <w:sz w:val="24"/>
          <w:szCs w:val="24"/>
          <w:lang w:val="en-US"/>
        </w:rPr>
        <w:t>centres</w:t>
      </w:r>
      <w:proofErr w:type="spellEnd"/>
      <w:r w:rsidRPr="00EC504C">
        <w:rPr>
          <w:rFonts w:ascii="Times New Roman" w:eastAsia="Calibri" w:hAnsi="Times New Roman" w:cs="Times New Roman"/>
          <w:sz w:val="24"/>
          <w:szCs w:val="24"/>
          <w:lang w:val="en-US"/>
        </w:rPr>
        <w:t xml:space="preserve"> successfully moved up to the next year, whereas the ra</w:t>
      </w:r>
      <w:r w:rsidRPr="00E971F1">
        <w:rPr>
          <w:rFonts w:ascii="Times New Roman" w:eastAsia="Calibri" w:hAnsi="Times New Roman" w:cs="Times New Roman"/>
          <w:sz w:val="24"/>
          <w:szCs w:val="24"/>
          <w:lang w:val="en-US"/>
        </w:rPr>
        <w:t>te of students with more than 3</w:t>
      </w:r>
      <w:r w:rsidRPr="00EC504C">
        <w:rPr>
          <w:rFonts w:ascii="Times New Roman" w:eastAsia="Calibri" w:hAnsi="Times New Roman" w:cs="Times New Roman"/>
          <w:sz w:val="24"/>
          <w:szCs w:val="24"/>
          <w:lang w:val="en-US"/>
        </w:rPr>
        <w:t xml:space="preserve"> “below average” marks decreased from 32% to 13%.</w:t>
      </w:r>
    </w:p>
    <w:p w:rsidR="00EC504C" w:rsidRPr="00EC504C" w:rsidRDefault="00EC504C" w:rsidP="00EC504C">
      <w:pPr>
        <w:spacing w:after="0" w:line="240" w:lineRule="auto"/>
        <w:jc w:val="both"/>
        <w:rPr>
          <w:rFonts w:ascii="Times New Roman" w:eastAsia="Calibri" w:hAnsi="Times New Roman" w:cs="Times New Roman"/>
          <w:sz w:val="24"/>
          <w:szCs w:val="24"/>
          <w:lang w:val="en-US"/>
        </w:rPr>
      </w:pPr>
      <w:r w:rsidRPr="00EC504C">
        <w:rPr>
          <w:rFonts w:ascii="Times New Roman" w:eastAsia="Calibri" w:hAnsi="Times New Roman" w:cs="Times New Roman"/>
          <w:sz w:val="24"/>
          <w:szCs w:val="24"/>
          <w:lang w:val="en-US"/>
        </w:rPr>
        <w:t>Cost-effectiveness of the project is confirmed by its cost, that is an average of € 4 per each youngster involved.</w:t>
      </w:r>
    </w:p>
    <w:p w:rsidR="00EC504C" w:rsidRPr="00EC504C" w:rsidRDefault="00EC504C" w:rsidP="00EC504C">
      <w:pPr>
        <w:spacing w:after="0" w:line="240" w:lineRule="auto"/>
        <w:jc w:val="both"/>
        <w:rPr>
          <w:rFonts w:ascii="Times New Roman" w:eastAsia="Calibri" w:hAnsi="Times New Roman" w:cs="Times New Roman"/>
          <w:sz w:val="24"/>
          <w:szCs w:val="24"/>
          <w:lang w:val="en-US"/>
        </w:rPr>
      </w:pPr>
    </w:p>
    <w:p w:rsidR="00EC504C" w:rsidRPr="00EC504C" w:rsidRDefault="00EC504C" w:rsidP="00EC504C">
      <w:pPr>
        <w:spacing w:after="0" w:line="240" w:lineRule="auto"/>
        <w:jc w:val="both"/>
        <w:rPr>
          <w:rFonts w:ascii="Times New Roman" w:eastAsia="Calibri" w:hAnsi="Times New Roman" w:cs="Times New Roman"/>
          <w:sz w:val="24"/>
          <w:szCs w:val="24"/>
          <w:lang w:val="en-US"/>
        </w:rPr>
      </w:pPr>
      <w:r w:rsidRPr="00EC504C">
        <w:rPr>
          <w:rFonts w:ascii="Times New Roman" w:eastAsia="Calibri" w:hAnsi="Times New Roman" w:cs="Times New Roman"/>
          <w:sz w:val="24"/>
          <w:szCs w:val="24"/>
          <w:lang w:val="en-US"/>
        </w:rPr>
        <w:t xml:space="preserve">Another example of good practice is provided by </w:t>
      </w:r>
      <w:r w:rsidRPr="00EC504C">
        <w:rPr>
          <w:rFonts w:ascii="Times New Roman" w:eastAsia="Calibri" w:hAnsi="Times New Roman" w:cs="Times New Roman"/>
          <w:i/>
          <w:sz w:val="24"/>
          <w:szCs w:val="24"/>
          <w:lang w:val="en-US"/>
        </w:rPr>
        <w:t>Survived</w:t>
      </w:r>
      <w:r w:rsidRPr="00EC504C">
        <w:rPr>
          <w:rFonts w:ascii="Times New Roman" w:eastAsia="Calibri" w:hAnsi="Times New Roman" w:cs="Times New Roman"/>
          <w:sz w:val="24"/>
          <w:szCs w:val="24"/>
          <w:lang w:val="en-US"/>
        </w:rPr>
        <w:t xml:space="preserve"> - </w:t>
      </w:r>
      <w:r w:rsidRPr="00E971F1">
        <w:rPr>
          <w:rFonts w:ascii="Times New Roman" w:eastAsia="Calibri" w:hAnsi="Times New Roman" w:cs="Times New Roman"/>
          <w:sz w:val="24"/>
          <w:szCs w:val="24"/>
          <w:lang w:val="en-US"/>
        </w:rPr>
        <w:t xml:space="preserve">a survey on elements which are </w:t>
      </w:r>
      <w:r w:rsidRPr="00EC504C">
        <w:rPr>
          <w:rFonts w:ascii="Times New Roman" w:eastAsia="Calibri" w:hAnsi="Times New Roman" w:cs="Times New Roman"/>
          <w:sz w:val="24"/>
          <w:szCs w:val="24"/>
          <w:lang w:val="en-US"/>
        </w:rPr>
        <w:t xml:space="preserve">predictive of early school leaving - carried out </w:t>
      </w:r>
      <w:r w:rsidR="00BF33BF">
        <w:rPr>
          <w:rFonts w:ascii="Times New Roman" w:eastAsia="Calibri" w:hAnsi="Times New Roman" w:cs="Times New Roman"/>
          <w:sz w:val="24"/>
          <w:szCs w:val="24"/>
          <w:lang w:val="en-US"/>
        </w:rPr>
        <w:t xml:space="preserve">in 2016 </w:t>
      </w:r>
      <w:r w:rsidRPr="00EC504C">
        <w:rPr>
          <w:rFonts w:ascii="Times New Roman" w:eastAsia="Calibri" w:hAnsi="Times New Roman" w:cs="Times New Roman"/>
          <w:sz w:val="24"/>
          <w:szCs w:val="24"/>
          <w:lang w:val="en-US"/>
        </w:rPr>
        <w:t>by WeWorld, together with two partner organizations which implemented action research on children attending 4th grade of primary school in two cities with similar local contexts in the North of Italy, e.g. Milan and Turin.</w:t>
      </w:r>
    </w:p>
    <w:p w:rsidR="00EC504C" w:rsidRPr="00E971F1" w:rsidRDefault="00EC504C" w:rsidP="00EC504C">
      <w:pPr>
        <w:spacing w:after="0" w:line="240" w:lineRule="auto"/>
        <w:jc w:val="both"/>
        <w:rPr>
          <w:rFonts w:ascii="Times New Roman" w:eastAsia="Calibri" w:hAnsi="Times New Roman" w:cs="Times New Roman"/>
          <w:sz w:val="24"/>
          <w:szCs w:val="24"/>
          <w:lang w:val="en-US"/>
        </w:rPr>
      </w:pPr>
      <w:r w:rsidRPr="00EC504C">
        <w:rPr>
          <w:rFonts w:ascii="Times New Roman" w:eastAsia="Calibri" w:hAnsi="Times New Roman" w:cs="Times New Roman"/>
          <w:sz w:val="24"/>
          <w:szCs w:val="24"/>
          <w:lang w:val="en-US"/>
        </w:rPr>
        <w:t>Best practice to be undertaken, in relation to each single condition that highlights potential dropping out, can be summarized as follows:</w:t>
      </w:r>
    </w:p>
    <w:p w:rsidR="00EC504C" w:rsidRPr="00EC504C" w:rsidRDefault="00EC504C" w:rsidP="00EC504C">
      <w:pPr>
        <w:spacing w:after="0" w:line="240" w:lineRule="auto"/>
        <w:jc w:val="both"/>
        <w:rPr>
          <w:rFonts w:ascii="Times New Roman" w:eastAsia="Calibri" w:hAnsi="Times New Roman" w:cs="Times New Roman"/>
          <w:sz w:val="24"/>
          <w:szCs w:val="24"/>
          <w:lang w:val="en-US"/>
        </w:rPr>
      </w:pPr>
    </w:p>
    <w:p w:rsidR="00EC504C" w:rsidRDefault="00EC504C" w:rsidP="00EC504C">
      <w:pPr>
        <w:spacing w:after="0" w:line="240" w:lineRule="auto"/>
        <w:jc w:val="both"/>
        <w:rPr>
          <w:rFonts w:ascii="Times New Roman" w:eastAsia="Calibri" w:hAnsi="Times New Roman" w:cs="Times New Roman"/>
          <w:sz w:val="24"/>
          <w:szCs w:val="24"/>
          <w:lang w:val="en-US"/>
        </w:rPr>
      </w:pPr>
    </w:p>
    <w:p w:rsidR="00FF388B" w:rsidRPr="00EC504C" w:rsidRDefault="00FF388B" w:rsidP="00EC504C">
      <w:pPr>
        <w:spacing w:after="0" w:line="240" w:lineRule="auto"/>
        <w:jc w:val="both"/>
        <w:rPr>
          <w:rFonts w:ascii="Times New Roman" w:eastAsia="Calibri" w:hAnsi="Times New Roman" w:cs="Times New Roman"/>
          <w:sz w:val="24"/>
          <w:szCs w:val="24"/>
          <w:lang w:val="en-US"/>
        </w:rPr>
      </w:pPr>
    </w:p>
    <w:tbl>
      <w:tblPr>
        <w:tblStyle w:val="Grigliatabella1"/>
        <w:tblW w:w="0" w:type="auto"/>
        <w:tblLook w:val="04A0" w:firstRow="1" w:lastRow="0" w:firstColumn="1" w:lastColumn="0" w:noHBand="0" w:noVBand="1"/>
      </w:tblPr>
      <w:tblGrid>
        <w:gridCol w:w="4787"/>
        <w:gridCol w:w="4789"/>
      </w:tblGrid>
      <w:tr w:rsidR="00EC504C" w:rsidRPr="00EC504C" w:rsidTr="00ED6C68">
        <w:tc>
          <w:tcPr>
            <w:tcW w:w="4889" w:type="dxa"/>
          </w:tcPr>
          <w:p w:rsidR="00EC504C" w:rsidRPr="00E971F1" w:rsidRDefault="00EC504C" w:rsidP="00EC504C">
            <w:pPr>
              <w:jc w:val="both"/>
              <w:rPr>
                <w:rFonts w:ascii="Times New Roman" w:hAnsi="Times New Roman" w:cs="Times New Roman"/>
                <w:b/>
                <w:sz w:val="24"/>
                <w:szCs w:val="24"/>
                <w:lang w:val="en-US"/>
              </w:rPr>
            </w:pPr>
            <w:r w:rsidRPr="00EC504C">
              <w:rPr>
                <w:rFonts w:ascii="Times New Roman" w:hAnsi="Times New Roman" w:cs="Times New Roman"/>
                <w:b/>
                <w:sz w:val="24"/>
                <w:szCs w:val="24"/>
                <w:lang w:val="en-US"/>
              </w:rPr>
              <w:t>Predictor of ESL</w:t>
            </w:r>
          </w:p>
          <w:p w:rsidR="00EC504C" w:rsidRPr="00EC504C" w:rsidRDefault="00EC504C" w:rsidP="00EC504C">
            <w:pPr>
              <w:jc w:val="both"/>
              <w:rPr>
                <w:rFonts w:ascii="Times New Roman" w:hAnsi="Times New Roman" w:cs="Times New Roman"/>
                <w:b/>
                <w:sz w:val="24"/>
                <w:szCs w:val="24"/>
                <w:lang w:val="en-US"/>
              </w:rPr>
            </w:pPr>
          </w:p>
        </w:tc>
        <w:tc>
          <w:tcPr>
            <w:tcW w:w="4889" w:type="dxa"/>
          </w:tcPr>
          <w:p w:rsidR="00EC504C" w:rsidRPr="00EC504C" w:rsidRDefault="00EC504C" w:rsidP="00EC504C">
            <w:pPr>
              <w:jc w:val="both"/>
              <w:rPr>
                <w:rFonts w:ascii="Times New Roman" w:hAnsi="Times New Roman" w:cs="Times New Roman"/>
                <w:b/>
                <w:sz w:val="24"/>
                <w:szCs w:val="24"/>
                <w:lang w:val="en-US"/>
              </w:rPr>
            </w:pPr>
            <w:r w:rsidRPr="00EC504C">
              <w:rPr>
                <w:rFonts w:ascii="Times New Roman" w:hAnsi="Times New Roman" w:cs="Times New Roman"/>
                <w:b/>
                <w:sz w:val="24"/>
                <w:szCs w:val="24"/>
                <w:lang w:val="en-US"/>
              </w:rPr>
              <w:t>Actions that turned out to be successful</w:t>
            </w:r>
          </w:p>
        </w:tc>
      </w:tr>
      <w:tr w:rsidR="00EC504C" w:rsidRPr="00EC504C" w:rsidTr="00ED6C68">
        <w:tc>
          <w:tcPr>
            <w:tcW w:w="4889" w:type="dxa"/>
          </w:tcPr>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Learning difficulties</w:t>
            </w:r>
          </w:p>
        </w:tc>
        <w:tc>
          <w:tcPr>
            <w:tcW w:w="4889" w:type="dxa"/>
          </w:tcPr>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Workshops based on alternative teaching</w:t>
            </w:r>
          </w:p>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Cooperative learning methodology</w:t>
            </w:r>
          </w:p>
        </w:tc>
      </w:tr>
      <w:tr w:rsidR="00EC504C" w:rsidRPr="00EC504C" w:rsidTr="00ED6C68">
        <w:tc>
          <w:tcPr>
            <w:tcW w:w="4889" w:type="dxa"/>
          </w:tcPr>
          <w:p w:rsidR="00EC504C" w:rsidRPr="00EC504C" w:rsidRDefault="00EC504C" w:rsidP="00EC504C">
            <w:pPr>
              <w:jc w:val="both"/>
              <w:rPr>
                <w:rFonts w:ascii="Times New Roman" w:hAnsi="Times New Roman" w:cs="Times New Roman"/>
                <w:sz w:val="24"/>
                <w:szCs w:val="24"/>
                <w:lang w:val="en-US"/>
              </w:rPr>
            </w:pPr>
            <w:proofErr w:type="spellStart"/>
            <w:r w:rsidRPr="00EC504C">
              <w:rPr>
                <w:rFonts w:ascii="Times New Roman" w:hAnsi="Times New Roman" w:cs="Times New Roman"/>
                <w:sz w:val="24"/>
                <w:szCs w:val="24"/>
                <w:lang w:val="en-US"/>
              </w:rPr>
              <w:t>Behaviour</w:t>
            </w:r>
            <w:proofErr w:type="spellEnd"/>
            <w:r w:rsidRPr="00EC504C">
              <w:rPr>
                <w:rFonts w:ascii="Times New Roman" w:hAnsi="Times New Roman" w:cs="Times New Roman"/>
                <w:sz w:val="24"/>
                <w:szCs w:val="24"/>
                <w:lang w:val="en-US"/>
              </w:rPr>
              <w:t xml:space="preserve"> problems</w:t>
            </w:r>
          </w:p>
        </w:tc>
        <w:tc>
          <w:tcPr>
            <w:tcW w:w="4889" w:type="dxa"/>
          </w:tcPr>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Class workshops with support both from educator and school teacher. It helps improve:</w:t>
            </w:r>
          </w:p>
          <w:p w:rsidR="00EC504C" w:rsidRPr="00E971F1"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 xml:space="preserve">- the child’s self-esteem </w:t>
            </w:r>
          </w:p>
          <w:p w:rsidR="00EC504C" w:rsidRPr="00EC504C" w:rsidRDefault="00EC504C" w:rsidP="00EC504C">
            <w:pPr>
              <w:jc w:val="both"/>
              <w:rPr>
                <w:rFonts w:ascii="Times New Roman" w:hAnsi="Times New Roman" w:cs="Times New Roman"/>
                <w:sz w:val="24"/>
                <w:szCs w:val="24"/>
                <w:lang w:val="en-US"/>
              </w:rPr>
            </w:pPr>
            <w:r w:rsidRPr="00E971F1">
              <w:rPr>
                <w:rFonts w:ascii="Times New Roman" w:hAnsi="Times New Roman" w:cs="Times New Roman"/>
                <w:sz w:val="24"/>
                <w:szCs w:val="24"/>
                <w:lang w:val="en-US"/>
              </w:rPr>
              <w:t xml:space="preserve">- </w:t>
            </w:r>
            <w:r w:rsidRPr="00EC504C">
              <w:rPr>
                <w:rFonts w:ascii="Times New Roman" w:hAnsi="Times New Roman" w:cs="Times New Roman"/>
                <w:sz w:val="24"/>
                <w:szCs w:val="24"/>
                <w:lang w:val="en-US"/>
              </w:rPr>
              <w:t>informal relationship with the teacher is encouraged, thus reducing school pressure</w:t>
            </w:r>
          </w:p>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 the child’s self-awareness and the relationship with the class group</w:t>
            </w:r>
          </w:p>
        </w:tc>
      </w:tr>
      <w:tr w:rsidR="00EC504C" w:rsidRPr="00EC504C" w:rsidTr="00ED6C68">
        <w:tc>
          <w:tcPr>
            <w:tcW w:w="4889" w:type="dxa"/>
          </w:tcPr>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Problems in socialization</w:t>
            </w:r>
          </w:p>
        </w:tc>
        <w:tc>
          <w:tcPr>
            <w:tcW w:w="4889" w:type="dxa"/>
          </w:tcPr>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Cooperative learning methodology</w:t>
            </w:r>
          </w:p>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lastRenderedPageBreak/>
              <w:t>Mediation between school and family supported by a tutor. It helps improve:</w:t>
            </w:r>
          </w:p>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 internal cohesion of the class group thanks to a stronger alliance between parents</w:t>
            </w:r>
          </w:p>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 the child wellbeing at school, as relationships between teachers and parents become more relaxed</w:t>
            </w:r>
          </w:p>
          <w:p w:rsidR="00EC504C" w:rsidRPr="00EC504C" w:rsidRDefault="00EC504C" w:rsidP="00EC504C">
            <w:pPr>
              <w:jc w:val="both"/>
              <w:rPr>
                <w:rFonts w:ascii="Times New Roman" w:hAnsi="Times New Roman" w:cs="Times New Roman"/>
                <w:sz w:val="24"/>
                <w:szCs w:val="24"/>
                <w:lang w:val="en-US"/>
              </w:rPr>
            </w:pPr>
          </w:p>
        </w:tc>
      </w:tr>
      <w:tr w:rsidR="00EC504C" w:rsidRPr="00EC504C" w:rsidTr="00ED6C68">
        <w:tc>
          <w:tcPr>
            <w:tcW w:w="4889" w:type="dxa"/>
          </w:tcPr>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lastRenderedPageBreak/>
              <w:t>Socio-cultural and socio-economic background</w:t>
            </w:r>
          </w:p>
        </w:tc>
        <w:tc>
          <w:tcPr>
            <w:tcW w:w="4889" w:type="dxa"/>
          </w:tcPr>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 Periodic meetings between tutor and families and mediation with the teachers: particularly useful for foreign parents, enhance families ‘approach to shared educational and cultural models of school</w:t>
            </w:r>
          </w:p>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 The role of tutor: supports parents, strengthening parental skills</w:t>
            </w:r>
          </w:p>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 Socialization events involving families, encourage cultural exchange and good practice sharing</w:t>
            </w:r>
          </w:p>
          <w:p w:rsidR="00EC504C" w:rsidRPr="00EC504C" w:rsidRDefault="00EC504C" w:rsidP="00EC504C">
            <w:pPr>
              <w:jc w:val="both"/>
              <w:rPr>
                <w:rFonts w:ascii="Times New Roman" w:hAnsi="Times New Roman" w:cs="Times New Roman"/>
                <w:sz w:val="24"/>
                <w:szCs w:val="24"/>
                <w:lang w:val="en-US"/>
              </w:rPr>
            </w:pPr>
            <w:r w:rsidRPr="00EC504C">
              <w:rPr>
                <w:rFonts w:ascii="Times New Roman" w:hAnsi="Times New Roman" w:cs="Times New Roman"/>
                <w:sz w:val="24"/>
                <w:szCs w:val="24"/>
                <w:lang w:val="en-US"/>
              </w:rPr>
              <w:t>- Creation of a mutual support network: enables exchange of information and access to external resources</w:t>
            </w:r>
          </w:p>
          <w:p w:rsidR="00EC504C" w:rsidRPr="00EC504C" w:rsidRDefault="00EC504C" w:rsidP="00EC504C">
            <w:pPr>
              <w:jc w:val="both"/>
              <w:rPr>
                <w:rFonts w:ascii="Times New Roman" w:hAnsi="Times New Roman" w:cs="Times New Roman"/>
                <w:sz w:val="24"/>
                <w:szCs w:val="24"/>
                <w:lang w:val="en-US"/>
              </w:rPr>
            </w:pPr>
          </w:p>
        </w:tc>
      </w:tr>
    </w:tbl>
    <w:p w:rsidR="00EC504C" w:rsidRPr="00EC504C" w:rsidRDefault="00EC504C" w:rsidP="00EC504C">
      <w:pPr>
        <w:spacing w:after="0" w:line="240" w:lineRule="auto"/>
        <w:jc w:val="both"/>
        <w:rPr>
          <w:rFonts w:ascii="Times New Roman" w:eastAsia="Calibri" w:hAnsi="Times New Roman" w:cs="Times New Roman"/>
          <w:sz w:val="24"/>
          <w:szCs w:val="24"/>
          <w:lang w:val="en-US"/>
        </w:rPr>
      </w:pPr>
    </w:p>
    <w:p w:rsidR="007B4539" w:rsidRPr="00E971F1" w:rsidRDefault="007B4539" w:rsidP="00814984">
      <w:pPr>
        <w:pStyle w:val="Normale1"/>
        <w:spacing w:after="0" w:line="240" w:lineRule="auto"/>
        <w:rPr>
          <w:rFonts w:ascii="Times New Roman" w:hAnsi="Times New Roman" w:cs="Times New Roman"/>
          <w:sz w:val="24"/>
          <w:szCs w:val="24"/>
          <w:lang w:val="en-US"/>
        </w:rPr>
      </w:pPr>
    </w:p>
    <w:p w:rsidR="007B4539" w:rsidRPr="00FF388B" w:rsidRDefault="00164C60" w:rsidP="00FF388B">
      <w:pPr>
        <w:pStyle w:val="Titolo1"/>
        <w:rPr>
          <w:rStyle w:val="Enfasiintensa"/>
          <w:rFonts w:ascii="Times New Roman" w:hAnsi="Times New Roman" w:cs="Times New Roman"/>
          <w:b/>
          <w:bCs/>
          <w:i w:val="0"/>
          <w:iCs w:val="0"/>
          <w:color w:val="auto"/>
          <w:lang w:val="en-US"/>
        </w:rPr>
      </w:pPr>
      <w:bookmarkStart w:id="6" w:name="_Toc471117705"/>
      <w:r w:rsidRPr="00FF388B">
        <w:rPr>
          <w:rStyle w:val="Enfasiintensa"/>
          <w:rFonts w:ascii="Times New Roman" w:hAnsi="Times New Roman" w:cs="Times New Roman"/>
          <w:b/>
          <w:bCs/>
          <w:i w:val="0"/>
          <w:iCs w:val="0"/>
          <w:color w:val="auto"/>
          <w:lang w:val="en-US"/>
        </w:rPr>
        <w:t>Final remarks</w:t>
      </w:r>
      <w:bookmarkEnd w:id="6"/>
    </w:p>
    <w:p w:rsidR="007B4539" w:rsidRPr="00E971F1" w:rsidRDefault="007B4539" w:rsidP="00814984">
      <w:pPr>
        <w:pStyle w:val="Normale1"/>
        <w:spacing w:after="0" w:line="240" w:lineRule="auto"/>
        <w:rPr>
          <w:rFonts w:ascii="Times New Roman" w:hAnsi="Times New Roman" w:cs="Times New Roman"/>
          <w:sz w:val="24"/>
          <w:szCs w:val="24"/>
          <w:lang w:val="en-US"/>
        </w:rPr>
      </w:pPr>
    </w:p>
    <w:p w:rsidR="007B4539" w:rsidRDefault="00D955C4" w:rsidP="00D955C4">
      <w:pPr>
        <w:pStyle w:val="Normale1"/>
        <w:spacing w:after="0" w:line="240" w:lineRule="auto"/>
        <w:jc w:val="both"/>
        <w:rPr>
          <w:rFonts w:ascii="Times New Roman" w:hAnsi="Times New Roman" w:cs="Times New Roman"/>
          <w:sz w:val="24"/>
          <w:szCs w:val="24"/>
          <w:lang w:val="en-US"/>
        </w:rPr>
      </w:pPr>
      <w:r w:rsidRPr="00D955C4">
        <w:rPr>
          <w:rFonts w:ascii="Times New Roman" w:hAnsi="Times New Roman" w:cs="Times New Roman"/>
          <w:sz w:val="24"/>
          <w:szCs w:val="24"/>
          <w:lang w:val="en-US"/>
        </w:rPr>
        <w:t>Reducing the early school leaving rate to below 10 percent is one of the targ</w:t>
      </w:r>
      <w:r>
        <w:rPr>
          <w:rFonts w:ascii="Times New Roman" w:hAnsi="Times New Roman" w:cs="Times New Roman"/>
          <w:sz w:val="24"/>
          <w:szCs w:val="24"/>
          <w:lang w:val="en-US"/>
        </w:rPr>
        <w:t xml:space="preserve">ets set by the </w:t>
      </w:r>
      <w:r>
        <w:rPr>
          <w:rFonts w:ascii="Times New Roman" w:hAnsi="Times New Roman" w:cs="Times New Roman"/>
          <w:i/>
          <w:iCs/>
          <w:sz w:val="24"/>
          <w:szCs w:val="24"/>
          <w:lang w:val="en-US"/>
        </w:rPr>
        <w:t xml:space="preserve">Europe 2020 Strategy </w:t>
      </w:r>
      <w:r w:rsidRPr="00D955C4">
        <w:rPr>
          <w:rFonts w:ascii="Times New Roman" w:hAnsi="Times New Roman" w:cs="Times New Roman"/>
          <w:sz w:val="24"/>
          <w:szCs w:val="24"/>
          <w:lang w:val="en-US"/>
        </w:rPr>
        <w:t>to be reached by the end of the decade in the field of education and training.</w:t>
      </w:r>
      <w:r>
        <w:rPr>
          <w:rFonts w:ascii="Times New Roman" w:hAnsi="Times New Roman" w:cs="Times New Roman"/>
          <w:sz w:val="24"/>
          <w:szCs w:val="24"/>
          <w:lang w:val="en-US"/>
        </w:rPr>
        <w:t xml:space="preserve"> </w:t>
      </w:r>
      <w:r w:rsidRPr="00D955C4">
        <w:rPr>
          <w:rFonts w:ascii="Times New Roman" w:hAnsi="Times New Roman" w:cs="Times New Roman"/>
          <w:sz w:val="24"/>
          <w:szCs w:val="24"/>
          <w:lang w:val="en-US"/>
        </w:rPr>
        <w:t>Although the phenomenon is steadily decreasing in Italy, it is still a long way from the European targets: in 201</w:t>
      </w:r>
      <w:r>
        <w:rPr>
          <w:rFonts w:ascii="Times New Roman" w:hAnsi="Times New Roman" w:cs="Times New Roman"/>
          <w:sz w:val="24"/>
          <w:szCs w:val="24"/>
          <w:lang w:val="en-US"/>
        </w:rPr>
        <w:t>5</w:t>
      </w:r>
      <w:r w:rsidRPr="00D955C4">
        <w:rPr>
          <w:rFonts w:ascii="Times New Roman" w:hAnsi="Times New Roman" w:cs="Times New Roman"/>
          <w:sz w:val="24"/>
          <w:szCs w:val="24"/>
          <w:lang w:val="en-US"/>
        </w:rPr>
        <w:t xml:space="preserve"> the percentage of young people who gave up their studies early was 1</w:t>
      </w:r>
      <w:r>
        <w:rPr>
          <w:rFonts w:ascii="Times New Roman" w:hAnsi="Times New Roman" w:cs="Times New Roman"/>
          <w:sz w:val="24"/>
          <w:szCs w:val="24"/>
          <w:lang w:val="en-US"/>
        </w:rPr>
        <w:t>5%</w:t>
      </w:r>
      <w:r w:rsidRPr="00D955C4">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4B5AEA" w:rsidRDefault="00D955C4" w:rsidP="00D955C4">
      <w:pPr>
        <w:pStyle w:val="Normale1"/>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Several factors influence the phenomenon: gender, national origin, </w:t>
      </w:r>
      <w:r w:rsidR="004B5AEA" w:rsidRPr="004B5AEA">
        <w:rPr>
          <w:rFonts w:ascii="Times New Roman" w:hAnsi="Times New Roman" w:cs="Times New Roman"/>
          <w:sz w:val="24"/>
          <w:szCs w:val="24"/>
          <w:lang w:val="en-US"/>
        </w:rPr>
        <w:t>socio-economic background of students and their families</w:t>
      </w:r>
      <w:r w:rsidR="004B5AEA">
        <w:rPr>
          <w:rFonts w:ascii="Times New Roman" w:hAnsi="Times New Roman" w:cs="Times New Roman"/>
          <w:sz w:val="24"/>
          <w:szCs w:val="24"/>
          <w:lang w:val="en-US"/>
        </w:rPr>
        <w:t>, parents’ level of education, territory of residence. The economic recession may contribute to the widespread of ESL: high unemployment rates can discourage young people from engaging in education and training, parents’ unemployment increase the risk of youth leaving education prematurely,</w:t>
      </w:r>
      <w:r w:rsidR="004B5AEA" w:rsidRPr="004B5AEA">
        <w:rPr>
          <w:lang w:val="en-US"/>
        </w:rPr>
        <w:t xml:space="preserve"> </w:t>
      </w:r>
      <w:r w:rsidR="004B5AEA" w:rsidRPr="004B5AEA">
        <w:rPr>
          <w:rFonts w:ascii="Times New Roman" w:hAnsi="Times New Roman" w:cs="Times New Roman"/>
          <w:sz w:val="24"/>
          <w:szCs w:val="24"/>
          <w:lang w:val="en-US"/>
        </w:rPr>
        <w:t xml:space="preserve">families’ poverty </w:t>
      </w:r>
      <w:r w:rsidR="004B5AEA">
        <w:rPr>
          <w:rFonts w:ascii="Times New Roman" w:hAnsi="Times New Roman" w:cs="Times New Roman"/>
          <w:sz w:val="24"/>
          <w:szCs w:val="24"/>
          <w:lang w:val="en-US"/>
        </w:rPr>
        <w:t xml:space="preserve">encourage children to </w:t>
      </w:r>
      <w:r w:rsidR="00652AA3">
        <w:rPr>
          <w:rFonts w:ascii="Times New Roman" w:hAnsi="Times New Roman" w:cs="Times New Roman"/>
          <w:sz w:val="24"/>
          <w:szCs w:val="24"/>
          <w:lang w:val="en-US"/>
        </w:rPr>
        <w:t xml:space="preserve">leave from school and contribute to the household income. </w:t>
      </w:r>
      <w:r w:rsidR="004B5AEA">
        <w:rPr>
          <w:rFonts w:ascii="Times New Roman" w:hAnsi="Times New Roman" w:cs="Times New Roman"/>
          <w:sz w:val="24"/>
          <w:szCs w:val="24"/>
          <w:lang w:val="en-US"/>
        </w:rPr>
        <w:t xml:space="preserve"> </w:t>
      </w:r>
    </w:p>
    <w:p w:rsidR="00652AA3" w:rsidRDefault="00652AA3" w:rsidP="00652AA3">
      <w:pPr>
        <w:pStyle w:val="Normale1"/>
        <w:spacing w:after="0" w:line="240" w:lineRule="auto"/>
        <w:jc w:val="both"/>
        <w:rPr>
          <w:rFonts w:ascii="Times New Roman" w:hAnsi="Times New Roman" w:cs="Times New Roman"/>
          <w:sz w:val="24"/>
          <w:szCs w:val="24"/>
          <w:lang w:val="en-US"/>
        </w:rPr>
      </w:pPr>
      <w:r w:rsidRPr="00652AA3">
        <w:rPr>
          <w:rFonts w:ascii="Times New Roman" w:hAnsi="Times New Roman" w:cs="Times New Roman"/>
          <w:sz w:val="24"/>
          <w:szCs w:val="24"/>
          <w:lang w:val="en-US"/>
        </w:rPr>
        <w:lastRenderedPageBreak/>
        <w:t xml:space="preserve">Italian governments have never adopted a structured </w:t>
      </w:r>
      <w:proofErr w:type="spellStart"/>
      <w:r w:rsidRPr="00652AA3">
        <w:rPr>
          <w:rFonts w:ascii="Times New Roman" w:hAnsi="Times New Roman" w:cs="Times New Roman"/>
          <w:sz w:val="24"/>
          <w:szCs w:val="24"/>
          <w:lang w:val="en-US"/>
        </w:rPr>
        <w:t>programme</w:t>
      </w:r>
      <w:proofErr w:type="spellEnd"/>
      <w:r w:rsidRPr="00652AA3">
        <w:rPr>
          <w:rFonts w:ascii="Times New Roman" w:hAnsi="Times New Roman" w:cs="Times New Roman"/>
          <w:sz w:val="24"/>
          <w:szCs w:val="24"/>
          <w:lang w:val="en-US"/>
        </w:rPr>
        <w:t xml:space="preserve"> to combat ESL for many years, and interventions have been implemented mainly by third sectors organizations, voluntary organizations or by single schools which enforced  short term projects on their own</w:t>
      </w:r>
      <w:r>
        <w:rPr>
          <w:rFonts w:ascii="Times New Roman" w:hAnsi="Times New Roman" w:cs="Times New Roman"/>
          <w:sz w:val="24"/>
          <w:szCs w:val="24"/>
          <w:lang w:val="en-US"/>
        </w:rPr>
        <w:t xml:space="preserve">. </w:t>
      </w:r>
    </w:p>
    <w:p w:rsidR="00652AA3" w:rsidRDefault="00652AA3" w:rsidP="00652AA3">
      <w:pPr>
        <w:pStyle w:val="Normale1"/>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Only the last few years </w:t>
      </w:r>
      <w:r w:rsidRPr="00652AA3">
        <w:rPr>
          <w:rFonts w:ascii="Times New Roman" w:hAnsi="Times New Roman" w:cs="Times New Roman"/>
          <w:sz w:val="24"/>
          <w:szCs w:val="24"/>
          <w:lang w:val="en-US"/>
        </w:rPr>
        <w:t>there was an effort, both from public and private sector, to promote projects on ESL aimed at building a cooperative network among different agencies</w:t>
      </w:r>
      <w:r w:rsidR="008844AB">
        <w:rPr>
          <w:rFonts w:ascii="Times New Roman" w:hAnsi="Times New Roman" w:cs="Times New Roman"/>
          <w:sz w:val="24"/>
          <w:szCs w:val="24"/>
          <w:lang w:val="en-US"/>
        </w:rPr>
        <w:t xml:space="preserve"> and construct an educational community aimed at support the education of young people, especially those at risk of dropping out. </w:t>
      </w:r>
    </w:p>
    <w:p w:rsidR="00892FE4" w:rsidRDefault="008844AB" w:rsidP="00652AA3">
      <w:pPr>
        <w:pStyle w:val="Normale1"/>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Nevertheless, Italy is still far from the European target and the efforts are not enough. </w:t>
      </w:r>
      <w:r w:rsidR="00920EEB">
        <w:rPr>
          <w:rFonts w:ascii="Times New Roman" w:hAnsi="Times New Roman" w:cs="Times New Roman"/>
          <w:sz w:val="24"/>
          <w:szCs w:val="24"/>
          <w:lang w:val="en-US"/>
        </w:rPr>
        <w:t xml:space="preserve">The initiatives of the third sectors organizations and voluntary organizations are important and they have </w:t>
      </w:r>
      <w:r w:rsidR="00920EEB">
        <w:rPr>
          <w:rFonts w:ascii="Times New Roman" w:hAnsi="Times New Roman" w:cs="Times New Roman"/>
          <w:sz w:val="24"/>
          <w:szCs w:val="24"/>
          <w:lang w:val="en-US"/>
        </w:rPr>
        <w:t>had</w:t>
      </w:r>
      <w:r w:rsidR="00920EEB">
        <w:rPr>
          <w:rFonts w:ascii="Times New Roman" w:hAnsi="Times New Roman" w:cs="Times New Roman"/>
          <w:sz w:val="24"/>
          <w:szCs w:val="24"/>
          <w:lang w:val="en-US"/>
        </w:rPr>
        <w:t xml:space="preserve"> a crucial role in combat ESL until now. </w:t>
      </w:r>
      <w:r w:rsidR="00920EEB">
        <w:rPr>
          <w:rFonts w:ascii="Times New Roman" w:hAnsi="Times New Roman" w:cs="Times New Roman"/>
          <w:sz w:val="24"/>
          <w:szCs w:val="24"/>
          <w:lang w:val="en-US"/>
        </w:rPr>
        <w:t>But a</w:t>
      </w:r>
      <w:r>
        <w:rPr>
          <w:rFonts w:ascii="Times New Roman" w:hAnsi="Times New Roman" w:cs="Times New Roman"/>
          <w:sz w:val="24"/>
          <w:szCs w:val="24"/>
          <w:lang w:val="en-US"/>
        </w:rPr>
        <w:t xml:space="preserve"> significant economic investment in education is </w:t>
      </w:r>
      <w:r w:rsidR="00920EEB">
        <w:rPr>
          <w:rFonts w:ascii="Times New Roman" w:hAnsi="Times New Roman" w:cs="Times New Roman"/>
          <w:sz w:val="24"/>
          <w:szCs w:val="24"/>
          <w:lang w:val="en-US"/>
        </w:rPr>
        <w:t xml:space="preserve">also </w:t>
      </w:r>
      <w:r>
        <w:rPr>
          <w:rFonts w:ascii="Times New Roman" w:hAnsi="Times New Roman" w:cs="Times New Roman"/>
          <w:sz w:val="24"/>
          <w:szCs w:val="24"/>
          <w:lang w:val="en-US"/>
        </w:rPr>
        <w:t>needed</w:t>
      </w:r>
      <w:r w:rsidR="00920EEB">
        <w:rPr>
          <w:rFonts w:ascii="Times New Roman" w:hAnsi="Times New Roman" w:cs="Times New Roman"/>
          <w:sz w:val="24"/>
          <w:szCs w:val="24"/>
          <w:lang w:val="en-US"/>
        </w:rPr>
        <w:t xml:space="preserve"> in Italy, where funds in education and training</w:t>
      </w:r>
      <w:r w:rsidR="00892FE4">
        <w:rPr>
          <w:rFonts w:ascii="Times New Roman" w:hAnsi="Times New Roman" w:cs="Times New Roman"/>
          <w:sz w:val="24"/>
          <w:szCs w:val="24"/>
          <w:lang w:val="en-US"/>
        </w:rPr>
        <w:t xml:space="preserve"> are very few</w:t>
      </w:r>
      <w:r w:rsidR="00920EEB">
        <w:rPr>
          <w:rFonts w:ascii="Times New Roman" w:hAnsi="Times New Roman" w:cs="Times New Roman"/>
          <w:sz w:val="24"/>
          <w:szCs w:val="24"/>
          <w:lang w:val="en-US"/>
        </w:rPr>
        <w:t>, especially compared to other European countries</w:t>
      </w:r>
      <w:r w:rsidR="00892FE4">
        <w:rPr>
          <w:rFonts w:ascii="Times New Roman" w:hAnsi="Times New Roman" w:cs="Times New Roman"/>
          <w:sz w:val="24"/>
          <w:szCs w:val="24"/>
          <w:lang w:val="en-US"/>
        </w:rPr>
        <w:t>.</w:t>
      </w:r>
    </w:p>
    <w:p w:rsidR="00892FE4" w:rsidRDefault="00892FE4" w:rsidP="00652AA3">
      <w:pPr>
        <w:pStyle w:val="Normale1"/>
        <w:spacing w:after="0" w:line="240" w:lineRule="auto"/>
        <w:jc w:val="both"/>
        <w:rPr>
          <w:rFonts w:ascii="Times New Roman" w:hAnsi="Times New Roman" w:cs="Times New Roman"/>
          <w:sz w:val="24"/>
          <w:szCs w:val="24"/>
          <w:lang w:val="en-US"/>
        </w:rPr>
      </w:pPr>
    </w:p>
    <w:p w:rsidR="00892FE4" w:rsidRDefault="00892FE4" w:rsidP="00652AA3">
      <w:pPr>
        <w:pStyle w:val="Normale1"/>
        <w:spacing w:after="0" w:line="240" w:lineRule="auto"/>
        <w:jc w:val="both"/>
        <w:rPr>
          <w:rFonts w:ascii="Times New Roman" w:hAnsi="Times New Roman" w:cs="Times New Roman"/>
          <w:sz w:val="24"/>
          <w:szCs w:val="24"/>
          <w:lang w:val="en-US"/>
        </w:rPr>
      </w:pPr>
    </w:p>
    <w:p w:rsidR="008844AB" w:rsidRDefault="008844AB" w:rsidP="00652AA3">
      <w:pPr>
        <w:pStyle w:val="Normale1"/>
        <w:spacing w:after="0" w:line="240" w:lineRule="auto"/>
        <w:jc w:val="both"/>
        <w:rPr>
          <w:rFonts w:ascii="Times New Roman" w:hAnsi="Times New Roman" w:cs="Times New Roman"/>
          <w:sz w:val="24"/>
          <w:szCs w:val="24"/>
          <w:lang w:val="en-US"/>
        </w:rPr>
      </w:pPr>
    </w:p>
    <w:p w:rsidR="00652AA3" w:rsidRDefault="00652AA3" w:rsidP="00652AA3">
      <w:pPr>
        <w:pStyle w:val="Normale1"/>
        <w:spacing w:after="0" w:line="240" w:lineRule="auto"/>
        <w:jc w:val="both"/>
        <w:rPr>
          <w:rFonts w:ascii="Times New Roman" w:hAnsi="Times New Roman" w:cs="Times New Roman"/>
          <w:sz w:val="24"/>
          <w:szCs w:val="24"/>
          <w:lang w:val="en-US"/>
        </w:rPr>
      </w:pPr>
    </w:p>
    <w:p w:rsidR="00652AA3" w:rsidRDefault="00652AA3" w:rsidP="00652AA3">
      <w:pPr>
        <w:pStyle w:val="Normale1"/>
        <w:spacing w:after="0" w:line="240" w:lineRule="auto"/>
        <w:jc w:val="both"/>
        <w:rPr>
          <w:rFonts w:ascii="Times New Roman" w:hAnsi="Times New Roman" w:cs="Times New Roman"/>
          <w:sz w:val="24"/>
          <w:szCs w:val="24"/>
          <w:lang w:val="en-US"/>
        </w:rPr>
      </w:pPr>
    </w:p>
    <w:p w:rsidR="004B5AEA" w:rsidRDefault="004B5AEA" w:rsidP="00D955C4">
      <w:pPr>
        <w:pStyle w:val="Normale1"/>
        <w:spacing w:after="0" w:line="240" w:lineRule="auto"/>
        <w:jc w:val="both"/>
        <w:rPr>
          <w:rFonts w:ascii="Times New Roman" w:hAnsi="Times New Roman" w:cs="Times New Roman"/>
          <w:sz w:val="24"/>
          <w:szCs w:val="24"/>
          <w:lang w:val="en-US"/>
        </w:rPr>
      </w:pPr>
    </w:p>
    <w:p w:rsidR="004B5AEA" w:rsidRDefault="004B5AEA" w:rsidP="00D955C4">
      <w:pPr>
        <w:pStyle w:val="Normale1"/>
        <w:spacing w:after="0" w:line="240" w:lineRule="auto"/>
        <w:jc w:val="both"/>
        <w:rPr>
          <w:rFonts w:ascii="Times New Roman" w:hAnsi="Times New Roman" w:cs="Times New Roman"/>
          <w:sz w:val="24"/>
          <w:szCs w:val="24"/>
          <w:lang w:val="en-US"/>
        </w:rPr>
      </w:pPr>
    </w:p>
    <w:p w:rsidR="004B5AEA" w:rsidRDefault="004B5AEA" w:rsidP="00D955C4">
      <w:pPr>
        <w:pStyle w:val="Normale1"/>
        <w:spacing w:after="0" w:line="240" w:lineRule="auto"/>
        <w:jc w:val="both"/>
        <w:rPr>
          <w:rFonts w:ascii="Times New Roman" w:hAnsi="Times New Roman" w:cs="Times New Roman"/>
          <w:sz w:val="24"/>
          <w:szCs w:val="24"/>
          <w:lang w:val="en-US"/>
        </w:rPr>
      </w:pPr>
    </w:p>
    <w:p w:rsidR="004B5AEA" w:rsidRPr="00E971F1" w:rsidRDefault="004B5AEA" w:rsidP="00D955C4">
      <w:pPr>
        <w:pStyle w:val="Normale1"/>
        <w:spacing w:after="0" w:line="240" w:lineRule="auto"/>
        <w:jc w:val="both"/>
        <w:rPr>
          <w:rFonts w:ascii="Times New Roman" w:hAnsi="Times New Roman" w:cs="Times New Roman"/>
          <w:sz w:val="24"/>
          <w:szCs w:val="24"/>
          <w:lang w:val="en-US"/>
        </w:rPr>
      </w:pPr>
    </w:p>
    <w:p w:rsidR="007B4539" w:rsidRPr="00E971F1" w:rsidRDefault="007B4539" w:rsidP="00814984">
      <w:pPr>
        <w:pStyle w:val="Normale1"/>
        <w:spacing w:after="0" w:line="240" w:lineRule="auto"/>
        <w:rPr>
          <w:rFonts w:ascii="Times New Roman" w:hAnsi="Times New Roman" w:cs="Times New Roman"/>
          <w:sz w:val="24"/>
          <w:szCs w:val="24"/>
          <w:lang w:val="en-US"/>
        </w:rPr>
      </w:pPr>
    </w:p>
    <w:p w:rsidR="007B4539" w:rsidRPr="00E971F1" w:rsidRDefault="007B4539" w:rsidP="00814984">
      <w:pPr>
        <w:pStyle w:val="Normale1"/>
        <w:spacing w:after="0" w:line="240" w:lineRule="auto"/>
        <w:rPr>
          <w:rFonts w:ascii="Times New Roman" w:hAnsi="Times New Roman" w:cs="Times New Roman"/>
          <w:sz w:val="24"/>
          <w:szCs w:val="24"/>
          <w:lang w:val="en-US"/>
        </w:rPr>
      </w:pPr>
    </w:p>
    <w:p w:rsidR="007B4539" w:rsidRPr="00E971F1" w:rsidRDefault="007B4539" w:rsidP="00814984">
      <w:pPr>
        <w:pStyle w:val="Normale1"/>
        <w:spacing w:after="0" w:line="240" w:lineRule="auto"/>
        <w:rPr>
          <w:rFonts w:ascii="Times New Roman" w:hAnsi="Times New Roman" w:cs="Times New Roman"/>
          <w:sz w:val="24"/>
          <w:szCs w:val="24"/>
          <w:lang w:val="en-US"/>
        </w:rPr>
      </w:pPr>
    </w:p>
    <w:p w:rsidR="007B4539" w:rsidRPr="00E971F1" w:rsidRDefault="007B4539" w:rsidP="00814984">
      <w:pPr>
        <w:pStyle w:val="Normale1"/>
        <w:spacing w:after="0" w:line="240" w:lineRule="auto"/>
        <w:rPr>
          <w:rFonts w:ascii="Times New Roman" w:hAnsi="Times New Roman" w:cs="Times New Roman"/>
          <w:sz w:val="24"/>
          <w:szCs w:val="24"/>
          <w:lang w:val="en-US"/>
        </w:rPr>
      </w:pPr>
    </w:p>
    <w:p w:rsidR="007B4539" w:rsidRPr="00E971F1" w:rsidRDefault="007B4539" w:rsidP="00814984">
      <w:pPr>
        <w:pStyle w:val="Normale1"/>
        <w:spacing w:after="0" w:line="240" w:lineRule="auto"/>
        <w:rPr>
          <w:rFonts w:ascii="Times New Roman" w:hAnsi="Times New Roman" w:cs="Times New Roman"/>
          <w:sz w:val="24"/>
          <w:szCs w:val="24"/>
          <w:lang w:val="en-US"/>
        </w:rPr>
      </w:pPr>
    </w:p>
    <w:p w:rsidR="007B4539" w:rsidRPr="00E971F1" w:rsidRDefault="007B4539" w:rsidP="00814984">
      <w:pPr>
        <w:pStyle w:val="Normale1"/>
        <w:spacing w:after="0" w:line="240" w:lineRule="auto"/>
        <w:rPr>
          <w:rFonts w:ascii="Times New Roman" w:hAnsi="Times New Roman" w:cs="Times New Roman"/>
          <w:sz w:val="24"/>
          <w:szCs w:val="24"/>
          <w:lang w:val="en-US"/>
        </w:rPr>
      </w:pPr>
    </w:p>
    <w:p w:rsidR="00892FE4" w:rsidRDefault="00892FE4">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7B4539" w:rsidRPr="00E971F1" w:rsidRDefault="007B4539" w:rsidP="00814984">
      <w:pPr>
        <w:pStyle w:val="Normale1"/>
        <w:spacing w:after="0" w:line="240" w:lineRule="auto"/>
        <w:rPr>
          <w:rFonts w:ascii="Times New Roman" w:hAnsi="Times New Roman" w:cs="Times New Roman"/>
          <w:sz w:val="24"/>
          <w:szCs w:val="24"/>
          <w:lang w:val="en-US"/>
        </w:rPr>
      </w:pPr>
    </w:p>
    <w:p w:rsidR="007B4539" w:rsidRPr="00E971F1" w:rsidRDefault="007B4539" w:rsidP="00814984">
      <w:pPr>
        <w:pStyle w:val="Normale1"/>
        <w:spacing w:after="0" w:line="240" w:lineRule="auto"/>
        <w:rPr>
          <w:rFonts w:ascii="Times New Roman" w:hAnsi="Times New Roman" w:cs="Times New Roman"/>
          <w:sz w:val="24"/>
          <w:szCs w:val="24"/>
          <w:lang w:val="en-US"/>
        </w:rPr>
      </w:pPr>
    </w:p>
    <w:p w:rsidR="007B4539" w:rsidRPr="00D955C4" w:rsidRDefault="00164C60" w:rsidP="00FF388B">
      <w:pPr>
        <w:pStyle w:val="Titolo1"/>
        <w:rPr>
          <w:rFonts w:ascii="Times New Roman" w:hAnsi="Times New Roman" w:cs="Times New Roman"/>
          <w:color w:val="auto"/>
          <w:lang w:val="en-US"/>
        </w:rPr>
      </w:pPr>
      <w:bookmarkStart w:id="7" w:name="_Toc471117706"/>
      <w:r w:rsidRPr="00D955C4">
        <w:rPr>
          <w:rFonts w:ascii="Times New Roman" w:hAnsi="Times New Roman" w:cs="Times New Roman"/>
          <w:color w:val="auto"/>
          <w:lang w:val="en-US"/>
        </w:rPr>
        <w:t>R</w:t>
      </w:r>
      <w:r w:rsidR="00FF388B" w:rsidRPr="00D955C4">
        <w:rPr>
          <w:rFonts w:ascii="Times New Roman" w:hAnsi="Times New Roman" w:cs="Times New Roman"/>
          <w:color w:val="auto"/>
          <w:lang w:val="en-US"/>
        </w:rPr>
        <w:t>eferences</w:t>
      </w:r>
      <w:bookmarkEnd w:id="7"/>
    </w:p>
    <w:p w:rsidR="007B4539" w:rsidRPr="00E971F1" w:rsidRDefault="007B4539" w:rsidP="00814984">
      <w:pPr>
        <w:pStyle w:val="Normale1"/>
        <w:spacing w:after="0" w:line="240" w:lineRule="auto"/>
        <w:rPr>
          <w:rFonts w:ascii="Times New Roman" w:hAnsi="Times New Roman" w:cs="Times New Roman"/>
          <w:lang w:val="en-US"/>
        </w:rPr>
      </w:pPr>
    </w:p>
    <w:p w:rsidR="00EC504C" w:rsidRPr="00EC504C" w:rsidRDefault="00EC504C" w:rsidP="00EC504C">
      <w:pPr>
        <w:spacing w:after="0" w:line="240" w:lineRule="auto"/>
        <w:jc w:val="both"/>
        <w:rPr>
          <w:rFonts w:ascii="Times New Roman" w:eastAsia="Calibri" w:hAnsi="Times New Roman" w:cs="Times New Roman"/>
          <w:sz w:val="24"/>
          <w:szCs w:val="24"/>
          <w:lang w:val="en-US"/>
        </w:rPr>
      </w:pPr>
      <w:proofErr w:type="spellStart"/>
      <w:r w:rsidRPr="00EC504C">
        <w:rPr>
          <w:rFonts w:ascii="Times New Roman" w:eastAsia="Calibri" w:hAnsi="Times New Roman" w:cs="Times New Roman"/>
          <w:sz w:val="24"/>
          <w:szCs w:val="24"/>
          <w:lang w:val="en-US"/>
        </w:rPr>
        <w:t>Avvisati</w:t>
      </w:r>
      <w:proofErr w:type="spellEnd"/>
      <w:r w:rsidRPr="00EC504C">
        <w:rPr>
          <w:rFonts w:ascii="Times New Roman" w:eastAsia="Calibri" w:hAnsi="Times New Roman" w:cs="Times New Roman"/>
          <w:sz w:val="24"/>
          <w:szCs w:val="24"/>
          <w:lang w:val="en-US"/>
        </w:rPr>
        <w:t xml:space="preserve"> F. (2016), </w:t>
      </w:r>
      <w:r w:rsidRPr="00EC504C">
        <w:rPr>
          <w:rFonts w:ascii="Times New Roman" w:eastAsia="Calibri" w:hAnsi="Times New Roman" w:cs="Times New Roman"/>
          <w:i/>
          <w:sz w:val="24"/>
          <w:szCs w:val="24"/>
          <w:lang w:val="en-US"/>
        </w:rPr>
        <w:t xml:space="preserve">PISA 2015: </w:t>
      </w:r>
      <w:proofErr w:type="spellStart"/>
      <w:r w:rsidRPr="00EC504C">
        <w:rPr>
          <w:rFonts w:ascii="Times New Roman" w:eastAsia="Calibri" w:hAnsi="Times New Roman" w:cs="Times New Roman"/>
          <w:i/>
          <w:sz w:val="24"/>
          <w:szCs w:val="24"/>
          <w:lang w:val="en-US"/>
        </w:rPr>
        <w:t>l’Italia</w:t>
      </w:r>
      <w:proofErr w:type="spellEnd"/>
      <w:r w:rsidRPr="00EC504C">
        <w:rPr>
          <w:rFonts w:ascii="Times New Roman" w:eastAsia="Calibri" w:hAnsi="Times New Roman" w:cs="Times New Roman"/>
          <w:i/>
          <w:sz w:val="24"/>
          <w:szCs w:val="24"/>
          <w:lang w:val="en-US"/>
        </w:rPr>
        <w:t xml:space="preserve"> a </w:t>
      </w:r>
      <w:proofErr w:type="spellStart"/>
      <w:r w:rsidRPr="00EC504C">
        <w:rPr>
          <w:rFonts w:ascii="Times New Roman" w:eastAsia="Calibri" w:hAnsi="Times New Roman" w:cs="Times New Roman"/>
          <w:i/>
          <w:sz w:val="24"/>
          <w:szCs w:val="24"/>
          <w:lang w:val="en-US"/>
        </w:rPr>
        <w:t>confronto</w:t>
      </w:r>
      <w:proofErr w:type="spellEnd"/>
      <w:r w:rsidRPr="00EC504C">
        <w:rPr>
          <w:rFonts w:ascii="Times New Roman" w:eastAsia="Calibri" w:hAnsi="Times New Roman" w:cs="Times New Roman"/>
          <w:sz w:val="24"/>
          <w:szCs w:val="24"/>
          <w:lang w:val="en-US"/>
        </w:rPr>
        <w:t>,</w:t>
      </w:r>
    </w:p>
    <w:p w:rsidR="00EC504C" w:rsidRPr="00EC504C" w:rsidRDefault="00EC504C" w:rsidP="00EC504C">
      <w:pPr>
        <w:spacing w:after="0" w:line="240" w:lineRule="auto"/>
        <w:jc w:val="both"/>
        <w:rPr>
          <w:rFonts w:ascii="Times New Roman" w:eastAsia="Calibri" w:hAnsi="Times New Roman" w:cs="Times New Roman"/>
          <w:sz w:val="24"/>
          <w:szCs w:val="24"/>
          <w:highlight w:val="yellow"/>
          <w:lang w:val="en-US"/>
        </w:rPr>
      </w:pPr>
      <w:hyperlink r:id="rId10" w:history="1">
        <w:r w:rsidRPr="00E971F1">
          <w:rPr>
            <w:rFonts w:ascii="Times New Roman" w:eastAsia="Calibri" w:hAnsi="Times New Roman" w:cs="Times New Roman"/>
            <w:color w:val="0000FF"/>
            <w:sz w:val="24"/>
            <w:szCs w:val="24"/>
            <w:u w:val="single"/>
            <w:lang w:val="en-US"/>
          </w:rPr>
          <w:t>http://www.invalsi.it/invalsi/areastampa.php?page=index</w:t>
        </w:r>
      </w:hyperlink>
    </w:p>
    <w:p w:rsidR="00EC504C" w:rsidRPr="00EC504C" w:rsidRDefault="00EC504C" w:rsidP="00EC504C">
      <w:pPr>
        <w:spacing w:after="0" w:line="240" w:lineRule="auto"/>
        <w:rPr>
          <w:rFonts w:ascii="Times New Roman" w:eastAsia="Calibri" w:hAnsi="Times New Roman" w:cs="Times New Roman"/>
          <w:sz w:val="24"/>
          <w:szCs w:val="24"/>
          <w:lang w:val="en-US"/>
        </w:rPr>
      </w:pPr>
    </w:p>
    <w:p w:rsidR="00892FE4" w:rsidRDefault="00892FE4" w:rsidP="00EC504C">
      <w:pPr>
        <w:spacing w:after="0" w:line="240" w:lineRule="auto"/>
        <w:rPr>
          <w:rFonts w:ascii="Times New Roman" w:eastAsia="Calibri" w:hAnsi="Times New Roman" w:cs="Times New Roman"/>
          <w:sz w:val="24"/>
          <w:szCs w:val="24"/>
        </w:rPr>
      </w:pPr>
      <w:proofErr w:type="spellStart"/>
      <w:r w:rsidRPr="008E1486">
        <w:rPr>
          <w:rFonts w:ascii="Times New Roman" w:eastAsia="Calibri" w:hAnsi="Times New Roman" w:cs="Times New Roman"/>
          <w:sz w:val="24"/>
          <w:szCs w:val="24"/>
        </w:rPr>
        <w:t>Bes</w:t>
      </w:r>
      <w:proofErr w:type="spellEnd"/>
      <w:r w:rsidRPr="008E1486">
        <w:rPr>
          <w:rFonts w:ascii="Times New Roman" w:eastAsia="Calibri" w:hAnsi="Times New Roman" w:cs="Times New Roman"/>
          <w:sz w:val="24"/>
          <w:szCs w:val="24"/>
        </w:rPr>
        <w:t xml:space="preserve"> (2016), </w:t>
      </w:r>
      <w:r w:rsidR="008E1486" w:rsidRPr="008E1486">
        <w:rPr>
          <w:rFonts w:ascii="Times New Roman" w:eastAsia="Calibri" w:hAnsi="Times New Roman" w:cs="Times New Roman"/>
          <w:i/>
          <w:sz w:val="24"/>
          <w:szCs w:val="24"/>
        </w:rPr>
        <w:t xml:space="preserve">Rapporto </w:t>
      </w:r>
      <w:proofErr w:type="spellStart"/>
      <w:r w:rsidR="008E1486" w:rsidRPr="008E1486">
        <w:rPr>
          <w:rFonts w:ascii="Times New Roman" w:eastAsia="Calibri" w:hAnsi="Times New Roman" w:cs="Times New Roman"/>
          <w:i/>
          <w:sz w:val="24"/>
          <w:szCs w:val="24"/>
        </w:rPr>
        <w:t>Bes</w:t>
      </w:r>
      <w:proofErr w:type="spellEnd"/>
      <w:r w:rsidR="008E1486" w:rsidRPr="008E1486">
        <w:rPr>
          <w:rFonts w:ascii="Times New Roman" w:eastAsia="Calibri" w:hAnsi="Times New Roman" w:cs="Times New Roman"/>
          <w:i/>
          <w:sz w:val="24"/>
          <w:szCs w:val="24"/>
        </w:rPr>
        <w:t xml:space="preserve"> 2016: il benessere equo e sostenibile in Italia</w:t>
      </w:r>
      <w:r w:rsidR="008E1486">
        <w:rPr>
          <w:rFonts w:ascii="Times New Roman" w:eastAsia="Calibri" w:hAnsi="Times New Roman" w:cs="Times New Roman"/>
          <w:sz w:val="24"/>
          <w:szCs w:val="24"/>
        </w:rPr>
        <w:t xml:space="preserve">, </w:t>
      </w:r>
      <w:hyperlink r:id="rId11" w:history="1">
        <w:r w:rsidR="008E1486" w:rsidRPr="00670834">
          <w:rPr>
            <w:rStyle w:val="Collegamentoipertestuale"/>
            <w:rFonts w:ascii="Times New Roman" w:eastAsia="Calibri" w:hAnsi="Times New Roman" w:cs="Times New Roman"/>
            <w:sz w:val="24"/>
            <w:szCs w:val="24"/>
          </w:rPr>
          <w:t>https://www.istat.it/it/archivio/194029</w:t>
        </w:r>
      </w:hyperlink>
    </w:p>
    <w:p w:rsidR="00892FE4" w:rsidRPr="008E1486" w:rsidRDefault="00892FE4" w:rsidP="00EC504C">
      <w:pPr>
        <w:spacing w:after="0" w:line="240" w:lineRule="auto"/>
        <w:rPr>
          <w:rFonts w:ascii="Times New Roman" w:eastAsia="Calibri" w:hAnsi="Times New Roman" w:cs="Times New Roman"/>
          <w:sz w:val="24"/>
          <w:szCs w:val="24"/>
        </w:rPr>
      </w:pPr>
    </w:p>
    <w:p w:rsidR="00EC504C" w:rsidRPr="00EC504C" w:rsidRDefault="00EC504C" w:rsidP="00EC504C">
      <w:pPr>
        <w:spacing w:after="0" w:line="240" w:lineRule="auto"/>
        <w:rPr>
          <w:rFonts w:ascii="Times New Roman" w:eastAsia="Calibri" w:hAnsi="Times New Roman" w:cs="Times New Roman"/>
          <w:sz w:val="24"/>
          <w:szCs w:val="24"/>
          <w:lang w:val="en-US"/>
        </w:rPr>
      </w:pPr>
      <w:r w:rsidRPr="00EC504C">
        <w:rPr>
          <w:rFonts w:ascii="Times New Roman" w:eastAsia="Calibri" w:hAnsi="Times New Roman" w:cs="Times New Roman"/>
          <w:sz w:val="24"/>
          <w:szCs w:val="24"/>
          <w:lang w:val="en-US"/>
        </w:rPr>
        <w:t>European Commi</w:t>
      </w:r>
      <w:r w:rsidR="00113E3F">
        <w:rPr>
          <w:rFonts w:ascii="Times New Roman" w:eastAsia="Calibri" w:hAnsi="Times New Roman" w:cs="Times New Roman"/>
          <w:sz w:val="24"/>
          <w:szCs w:val="24"/>
          <w:lang w:val="en-US"/>
        </w:rPr>
        <w:t>s</w:t>
      </w:r>
      <w:bookmarkStart w:id="8" w:name="_GoBack"/>
      <w:bookmarkEnd w:id="8"/>
      <w:r w:rsidRPr="00EC504C">
        <w:rPr>
          <w:rFonts w:ascii="Times New Roman" w:eastAsia="Calibri" w:hAnsi="Times New Roman" w:cs="Times New Roman"/>
          <w:sz w:val="24"/>
          <w:szCs w:val="24"/>
          <w:lang w:val="en-US"/>
        </w:rPr>
        <w:t xml:space="preserve">sion (2011), </w:t>
      </w:r>
      <w:r w:rsidRPr="00EC504C">
        <w:rPr>
          <w:rFonts w:ascii="Times New Roman" w:eastAsia="Calibri" w:hAnsi="Times New Roman" w:cs="Times New Roman"/>
          <w:i/>
          <w:sz w:val="24"/>
          <w:szCs w:val="24"/>
          <w:lang w:val="en-US"/>
        </w:rPr>
        <w:t>Commission staff working paper. Reducing early school leaving</w:t>
      </w:r>
      <w:r w:rsidRPr="00EC504C">
        <w:rPr>
          <w:rFonts w:ascii="Times New Roman" w:eastAsia="Calibri" w:hAnsi="Times New Roman" w:cs="Times New Roman"/>
          <w:sz w:val="24"/>
          <w:szCs w:val="24"/>
          <w:lang w:val="en-US"/>
        </w:rPr>
        <w:t xml:space="preserve">, </w:t>
      </w:r>
      <w:hyperlink r:id="rId12" w:history="1">
        <w:r w:rsidRPr="00E971F1">
          <w:rPr>
            <w:rFonts w:ascii="Times New Roman" w:eastAsia="Calibri" w:hAnsi="Times New Roman" w:cs="Times New Roman"/>
            <w:color w:val="0000FF"/>
            <w:sz w:val="24"/>
            <w:szCs w:val="24"/>
            <w:u w:val="single"/>
            <w:lang w:val="en-US"/>
          </w:rPr>
          <w:t>http://eur-lex.europa.eu/legal-content/EN/ALL/?uri=CELEX:52011SC0096</w:t>
        </w:r>
      </w:hyperlink>
    </w:p>
    <w:p w:rsidR="00EC504C" w:rsidRPr="00EC504C" w:rsidRDefault="00EC504C" w:rsidP="00EC504C">
      <w:pPr>
        <w:spacing w:after="0" w:line="240" w:lineRule="auto"/>
        <w:rPr>
          <w:rFonts w:ascii="Times New Roman" w:eastAsia="Calibri" w:hAnsi="Times New Roman" w:cs="Times New Roman"/>
          <w:sz w:val="24"/>
          <w:szCs w:val="24"/>
          <w:lang w:val="en-US"/>
        </w:rPr>
      </w:pPr>
    </w:p>
    <w:p w:rsidR="00EC504C" w:rsidRPr="00EC504C" w:rsidRDefault="00EC504C" w:rsidP="00EC504C">
      <w:pPr>
        <w:spacing w:after="0" w:line="240" w:lineRule="auto"/>
        <w:rPr>
          <w:rFonts w:ascii="Times New Roman" w:eastAsia="Calibri" w:hAnsi="Times New Roman" w:cs="Times New Roman"/>
          <w:sz w:val="24"/>
          <w:szCs w:val="24"/>
          <w:lang w:val="en-US"/>
        </w:rPr>
      </w:pPr>
      <w:r w:rsidRPr="00EC504C">
        <w:rPr>
          <w:rFonts w:ascii="Times New Roman" w:eastAsia="Calibri" w:hAnsi="Times New Roman" w:cs="Times New Roman"/>
          <w:sz w:val="24"/>
          <w:szCs w:val="24"/>
          <w:lang w:val="en-US"/>
        </w:rPr>
        <w:t xml:space="preserve">European Union (2016), </w:t>
      </w:r>
      <w:r w:rsidRPr="00EC504C">
        <w:rPr>
          <w:rFonts w:ascii="Times New Roman" w:eastAsia="Calibri" w:hAnsi="Times New Roman" w:cs="Times New Roman"/>
          <w:i/>
          <w:sz w:val="24"/>
          <w:szCs w:val="24"/>
          <w:lang w:val="en-US"/>
        </w:rPr>
        <w:t>Italy: tackling child poverty and overcoming the crisis</w:t>
      </w:r>
      <w:r w:rsidRPr="00EC504C">
        <w:rPr>
          <w:rFonts w:ascii="Times New Roman" w:eastAsia="Calibri" w:hAnsi="Times New Roman" w:cs="Times New Roman"/>
          <w:sz w:val="24"/>
          <w:szCs w:val="24"/>
          <w:lang w:val="en-US"/>
        </w:rPr>
        <w:t xml:space="preserve">, </w:t>
      </w:r>
      <w:hyperlink r:id="rId13" w:history="1">
        <w:r w:rsidRPr="00E971F1">
          <w:rPr>
            <w:rFonts w:ascii="Times New Roman" w:eastAsia="Calibri" w:hAnsi="Times New Roman" w:cs="Times New Roman"/>
            <w:color w:val="0000FF"/>
            <w:sz w:val="24"/>
            <w:szCs w:val="24"/>
            <w:u w:val="single"/>
            <w:lang w:val="en-US"/>
          </w:rPr>
          <w:t>http://europa.eu/epic/countries/italy/index_en.htm</w:t>
        </w:r>
      </w:hyperlink>
    </w:p>
    <w:p w:rsidR="00EC504C" w:rsidRPr="00EC504C" w:rsidRDefault="00EC504C" w:rsidP="00EC504C">
      <w:pPr>
        <w:spacing w:after="0" w:line="240" w:lineRule="auto"/>
        <w:rPr>
          <w:rFonts w:ascii="Times New Roman" w:eastAsia="Calibri" w:hAnsi="Times New Roman" w:cs="Times New Roman"/>
          <w:sz w:val="24"/>
          <w:szCs w:val="24"/>
          <w:lang w:val="en-US"/>
        </w:rPr>
      </w:pPr>
    </w:p>
    <w:p w:rsidR="00EC504C" w:rsidRPr="00EC504C" w:rsidRDefault="00EC504C" w:rsidP="00EC504C">
      <w:pPr>
        <w:spacing w:after="0" w:line="240" w:lineRule="auto"/>
        <w:rPr>
          <w:rFonts w:ascii="Times New Roman" w:eastAsia="Calibri" w:hAnsi="Times New Roman" w:cs="Times New Roman"/>
          <w:sz w:val="24"/>
          <w:szCs w:val="24"/>
          <w:lang w:val="en-US"/>
        </w:rPr>
      </w:pPr>
      <w:r w:rsidRPr="00EC504C">
        <w:rPr>
          <w:rFonts w:ascii="Times New Roman" w:eastAsia="Calibri" w:hAnsi="Times New Roman" w:cs="Times New Roman"/>
          <w:sz w:val="24"/>
          <w:szCs w:val="24"/>
          <w:lang w:val="en-US"/>
        </w:rPr>
        <w:t xml:space="preserve">Eurydice (2013), </w:t>
      </w:r>
      <w:r w:rsidRPr="00EC504C">
        <w:rPr>
          <w:rFonts w:ascii="Times New Roman" w:eastAsia="Calibri" w:hAnsi="Times New Roman" w:cs="Times New Roman"/>
          <w:i/>
          <w:sz w:val="24"/>
          <w:szCs w:val="24"/>
          <w:lang w:val="en-US"/>
        </w:rPr>
        <w:t>The Italian Educational System</w:t>
      </w:r>
      <w:r w:rsidRPr="00EC504C">
        <w:rPr>
          <w:rFonts w:ascii="Times New Roman" w:eastAsia="Calibri" w:hAnsi="Times New Roman" w:cs="Times New Roman"/>
          <w:sz w:val="24"/>
          <w:szCs w:val="24"/>
          <w:lang w:val="en-US"/>
        </w:rPr>
        <w:t xml:space="preserve">, </w:t>
      </w:r>
      <w:hyperlink r:id="rId14" w:history="1">
        <w:r w:rsidRPr="00E971F1">
          <w:rPr>
            <w:rFonts w:ascii="Times New Roman" w:eastAsia="Calibri" w:hAnsi="Times New Roman" w:cs="Times New Roman"/>
            <w:color w:val="0000FF"/>
            <w:sz w:val="24"/>
            <w:szCs w:val="24"/>
            <w:u w:val="single"/>
            <w:lang w:val="en-US"/>
          </w:rPr>
          <w:t>www.indire.it/.../eurydice/quaderno_eurydice_30_per_web.pdf</w:t>
        </w:r>
      </w:hyperlink>
    </w:p>
    <w:p w:rsidR="00EC504C" w:rsidRPr="00EC504C" w:rsidRDefault="00EC504C" w:rsidP="00EC504C">
      <w:pPr>
        <w:spacing w:after="0" w:line="240" w:lineRule="auto"/>
        <w:rPr>
          <w:rFonts w:ascii="Times New Roman" w:eastAsia="Calibri" w:hAnsi="Times New Roman" w:cs="Times New Roman"/>
          <w:sz w:val="24"/>
          <w:szCs w:val="24"/>
          <w:lang w:val="en-US"/>
        </w:rPr>
      </w:pPr>
    </w:p>
    <w:p w:rsidR="00EC504C" w:rsidRPr="00EC504C" w:rsidRDefault="00EC504C" w:rsidP="00EC504C">
      <w:pPr>
        <w:spacing w:after="0" w:line="240" w:lineRule="auto"/>
        <w:rPr>
          <w:rFonts w:ascii="Times New Roman" w:eastAsia="Calibri" w:hAnsi="Times New Roman" w:cs="Times New Roman"/>
          <w:sz w:val="24"/>
          <w:szCs w:val="24"/>
          <w:lang w:val="en-US"/>
        </w:rPr>
      </w:pPr>
      <w:r w:rsidRPr="00EC504C">
        <w:rPr>
          <w:rFonts w:ascii="Times New Roman" w:eastAsia="Calibri" w:hAnsi="Times New Roman" w:cs="Times New Roman"/>
          <w:sz w:val="24"/>
          <w:szCs w:val="24"/>
          <w:lang w:val="en-US"/>
        </w:rPr>
        <w:t xml:space="preserve">Eurydice (2014), </w:t>
      </w:r>
      <w:r w:rsidRPr="00EC504C">
        <w:rPr>
          <w:rFonts w:ascii="Times New Roman" w:eastAsia="Calibri" w:hAnsi="Times New Roman" w:cs="Times New Roman"/>
          <w:i/>
          <w:sz w:val="24"/>
          <w:szCs w:val="24"/>
          <w:lang w:val="en-US"/>
        </w:rPr>
        <w:t>Tacking early leaving from education and training in Europe</w:t>
      </w:r>
      <w:r w:rsidRPr="00EC504C">
        <w:rPr>
          <w:rFonts w:ascii="Times New Roman" w:eastAsia="Calibri" w:hAnsi="Times New Roman" w:cs="Times New Roman"/>
          <w:sz w:val="24"/>
          <w:szCs w:val="24"/>
          <w:lang w:val="en-US"/>
        </w:rPr>
        <w:t xml:space="preserve">, </w:t>
      </w:r>
      <w:hyperlink r:id="rId15" w:history="1">
        <w:r w:rsidRPr="00E971F1">
          <w:rPr>
            <w:rFonts w:ascii="Times New Roman" w:eastAsia="Calibri" w:hAnsi="Times New Roman" w:cs="Times New Roman"/>
            <w:color w:val="0000FF"/>
            <w:sz w:val="24"/>
            <w:szCs w:val="24"/>
            <w:u w:val="single"/>
            <w:lang w:val="en-US"/>
          </w:rPr>
          <w:t>http://www.indire.it/eurydice/content/index.php?action=read_cnt&amp;id_cnt=15196</w:t>
        </w:r>
      </w:hyperlink>
    </w:p>
    <w:p w:rsidR="00EC504C" w:rsidRPr="00EC504C" w:rsidRDefault="00EC504C" w:rsidP="00EC504C">
      <w:pPr>
        <w:spacing w:after="0" w:line="240" w:lineRule="auto"/>
        <w:rPr>
          <w:rFonts w:ascii="Times New Roman" w:eastAsia="Calibri" w:hAnsi="Times New Roman" w:cs="Times New Roman"/>
          <w:sz w:val="24"/>
          <w:szCs w:val="24"/>
          <w:highlight w:val="yellow"/>
          <w:lang w:val="en-US"/>
        </w:rPr>
      </w:pPr>
    </w:p>
    <w:p w:rsidR="00EC504C" w:rsidRPr="00EC504C" w:rsidRDefault="00EC504C" w:rsidP="00EC504C">
      <w:pPr>
        <w:spacing w:after="0" w:line="240" w:lineRule="auto"/>
        <w:rPr>
          <w:rFonts w:ascii="Times New Roman" w:eastAsia="Calibri" w:hAnsi="Times New Roman" w:cs="Times New Roman"/>
          <w:sz w:val="24"/>
          <w:szCs w:val="24"/>
          <w:lang w:val="en-US"/>
        </w:rPr>
      </w:pPr>
      <w:proofErr w:type="spellStart"/>
      <w:r w:rsidRPr="00892FE4">
        <w:rPr>
          <w:rFonts w:ascii="Times New Roman" w:eastAsia="Calibri" w:hAnsi="Times New Roman" w:cs="Times New Roman"/>
          <w:sz w:val="24"/>
          <w:szCs w:val="24"/>
        </w:rPr>
        <w:t>Ismu</w:t>
      </w:r>
      <w:proofErr w:type="spellEnd"/>
      <w:r w:rsidRPr="00892FE4">
        <w:rPr>
          <w:rFonts w:ascii="Times New Roman" w:eastAsia="Calibri" w:hAnsi="Times New Roman" w:cs="Times New Roman"/>
          <w:sz w:val="24"/>
          <w:szCs w:val="24"/>
        </w:rPr>
        <w:t xml:space="preserve"> </w:t>
      </w:r>
      <w:r w:rsidR="00892FE4" w:rsidRPr="00892FE4">
        <w:rPr>
          <w:rFonts w:ascii="Times New Roman" w:eastAsia="Calibri" w:hAnsi="Times New Roman" w:cs="Times New Roman"/>
          <w:sz w:val="24"/>
          <w:szCs w:val="24"/>
        </w:rPr>
        <w:t>(</w:t>
      </w:r>
      <w:r w:rsidRPr="00892FE4">
        <w:rPr>
          <w:rFonts w:ascii="Times New Roman" w:eastAsia="Calibri" w:hAnsi="Times New Roman" w:cs="Times New Roman"/>
          <w:sz w:val="24"/>
          <w:szCs w:val="24"/>
        </w:rPr>
        <w:t>2016</w:t>
      </w:r>
      <w:r w:rsidR="00892FE4" w:rsidRPr="00892FE4">
        <w:rPr>
          <w:rFonts w:ascii="Times New Roman" w:eastAsia="Calibri" w:hAnsi="Times New Roman" w:cs="Times New Roman"/>
          <w:sz w:val="24"/>
          <w:szCs w:val="24"/>
        </w:rPr>
        <w:t>)</w:t>
      </w:r>
      <w:r w:rsidRPr="00892FE4">
        <w:rPr>
          <w:rFonts w:ascii="Times New Roman" w:eastAsia="Calibri" w:hAnsi="Times New Roman" w:cs="Times New Roman"/>
          <w:sz w:val="24"/>
          <w:szCs w:val="24"/>
        </w:rPr>
        <w:t xml:space="preserve">, </w:t>
      </w:r>
      <w:r w:rsidRPr="00892FE4">
        <w:rPr>
          <w:rFonts w:ascii="Times New Roman" w:eastAsia="Calibri" w:hAnsi="Times New Roman" w:cs="Times New Roman"/>
          <w:i/>
          <w:sz w:val="24"/>
          <w:szCs w:val="24"/>
        </w:rPr>
        <w:t xml:space="preserve">Alunni con cittadinanza non italiana. </w:t>
      </w:r>
      <w:proofErr w:type="spellStart"/>
      <w:r w:rsidRPr="00EC504C">
        <w:rPr>
          <w:rFonts w:ascii="Times New Roman" w:eastAsia="Calibri" w:hAnsi="Times New Roman" w:cs="Times New Roman"/>
          <w:i/>
          <w:sz w:val="24"/>
          <w:szCs w:val="24"/>
          <w:lang w:val="en-US"/>
        </w:rPr>
        <w:t>Rapporto</w:t>
      </w:r>
      <w:proofErr w:type="spellEnd"/>
      <w:r w:rsidRPr="00EC504C">
        <w:rPr>
          <w:rFonts w:ascii="Times New Roman" w:eastAsia="Calibri" w:hAnsi="Times New Roman" w:cs="Times New Roman"/>
          <w:i/>
          <w:sz w:val="24"/>
          <w:szCs w:val="24"/>
          <w:lang w:val="en-US"/>
        </w:rPr>
        <w:t xml:space="preserve"> </w:t>
      </w:r>
      <w:proofErr w:type="spellStart"/>
      <w:r w:rsidRPr="00EC504C">
        <w:rPr>
          <w:rFonts w:ascii="Times New Roman" w:eastAsia="Calibri" w:hAnsi="Times New Roman" w:cs="Times New Roman"/>
          <w:i/>
          <w:sz w:val="24"/>
          <w:szCs w:val="24"/>
          <w:lang w:val="en-US"/>
        </w:rPr>
        <w:t>nazionale</w:t>
      </w:r>
      <w:proofErr w:type="spellEnd"/>
      <w:r w:rsidRPr="00EC504C">
        <w:rPr>
          <w:rFonts w:ascii="Times New Roman" w:eastAsia="Calibri" w:hAnsi="Times New Roman" w:cs="Times New Roman"/>
          <w:sz w:val="24"/>
          <w:szCs w:val="24"/>
          <w:lang w:val="en-US"/>
        </w:rPr>
        <w:t xml:space="preserve"> , </w:t>
      </w:r>
      <w:hyperlink r:id="rId16" w:history="1">
        <w:r w:rsidRPr="00E971F1">
          <w:rPr>
            <w:rFonts w:ascii="Times New Roman" w:eastAsia="Calibri" w:hAnsi="Times New Roman" w:cs="Times New Roman"/>
            <w:color w:val="0000FF"/>
            <w:sz w:val="24"/>
            <w:szCs w:val="24"/>
            <w:u w:val="single"/>
            <w:lang w:val="en-US"/>
          </w:rPr>
          <w:t>http://www.ismu.org/2016/05/alunni-cni-rapporto-nazionale-2014-2015/</w:t>
        </w:r>
      </w:hyperlink>
    </w:p>
    <w:p w:rsidR="00EC504C" w:rsidRPr="00EC504C" w:rsidRDefault="00EC504C" w:rsidP="00EC504C">
      <w:pPr>
        <w:spacing w:after="0" w:line="240" w:lineRule="auto"/>
        <w:rPr>
          <w:rFonts w:ascii="Times New Roman" w:eastAsia="Calibri" w:hAnsi="Times New Roman" w:cs="Times New Roman"/>
          <w:sz w:val="24"/>
          <w:szCs w:val="24"/>
          <w:highlight w:val="yellow"/>
          <w:lang w:val="en-US"/>
        </w:rPr>
      </w:pPr>
    </w:p>
    <w:p w:rsidR="00EC504C" w:rsidRPr="00BF33BF" w:rsidRDefault="00EC504C" w:rsidP="00EC504C">
      <w:pPr>
        <w:spacing w:after="0" w:line="240" w:lineRule="auto"/>
        <w:rPr>
          <w:rFonts w:ascii="Times New Roman" w:eastAsia="Calibri" w:hAnsi="Times New Roman" w:cs="Times New Roman"/>
          <w:sz w:val="24"/>
          <w:szCs w:val="24"/>
        </w:rPr>
      </w:pPr>
      <w:r w:rsidRPr="00BF33BF">
        <w:rPr>
          <w:rFonts w:ascii="Times New Roman" w:eastAsia="Calibri" w:hAnsi="Times New Roman" w:cs="Times New Roman"/>
          <w:sz w:val="24"/>
          <w:szCs w:val="24"/>
        </w:rPr>
        <w:t>Istat (2016</w:t>
      </w:r>
      <w:r w:rsidR="00BF33BF" w:rsidRPr="00BF33BF">
        <w:rPr>
          <w:rFonts w:ascii="Times New Roman" w:eastAsia="Calibri" w:hAnsi="Times New Roman" w:cs="Times New Roman"/>
          <w:sz w:val="24"/>
          <w:szCs w:val="24"/>
        </w:rPr>
        <w:t>a</w:t>
      </w:r>
      <w:r w:rsidRPr="00BF33BF">
        <w:rPr>
          <w:rFonts w:ascii="Times New Roman" w:eastAsia="Calibri" w:hAnsi="Times New Roman" w:cs="Times New Roman"/>
          <w:sz w:val="24"/>
          <w:szCs w:val="24"/>
        </w:rPr>
        <w:t xml:space="preserve">), </w:t>
      </w:r>
      <w:r w:rsidRPr="00BF33BF">
        <w:rPr>
          <w:rFonts w:ascii="Times New Roman" w:eastAsia="Calibri" w:hAnsi="Times New Roman" w:cs="Times New Roman"/>
          <w:i/>
          <w:sz w:val="24"/>
          <w:szCs w:val="24"/>
        </w:rPr>
        <w:t>Giovani dai 18 ai 24 anni d'età che abbandonano prematuramente gli studi</w:t>
      </w:r>
      <w:r w:rsidRPr="00BF33BF">
        <w:rPr>
          <w:rFonts w:ascii="Times New Roman" w:eastAsia="Calibri" w:hAnsi="Times New Roman" w:cs="Times New Roman"/>
          <w:sz w:val="24"/>
          <w:szCs w:val="24"/>
        </w:rPr>
        <w:t xml:space="preserve"> </w:t>
      </w:r>
      <w:hyperlink r:id="rId17" w:history="1">
        <w:r w:rsidRPr="00BF33BF">
          <w:rPr>
            <w:rFonts w:ascii="Times New Roman" w:eastAsia="Calibri" w:hAnsi="Times New Roman" w:cs="Times New Roman"/>
            <w:color w:val="0000FF"/>
            <w:sz w:val="24"/>
            <w:szCs w:val="24"/>
            <w:u w:val="single"/>
          </w:rPr>
          <w:t>http://dati.istat.it/</w:t>
        </w:r>
      </w:hyperlink>
    </w:p>
    <w:p w:rsidR="00EC504C" w:rsidRPr="00BF33BF" w:rsidRDefault="00EC504C" w:rsidP="00EC504C">
      <w:pPr>
        <w:spacing w:after="0" w:line="240" w:lineRule="auto"/>
        <w:rPr>
          <w:rFonts w:ascii="Times New Roman" w:eastAsia="Calibri" w:hAnsi="Times New Roman" w:cs="Times New Roman"/>
          <w:sz w:val="24"/>
          <w:szCs w:val="24"/>
        </w:rPr>
      </w:pPr>
    </w:p>
    <w:p w:rsidR="00EC504C" w:rsidRPr="00BF33BF" w:rsidRDefault="00BF33BF" w:rsidP="00EC504C">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Istat (2016</w:t>
      </w:r>
      <w:r w:rsidRPr="00BF33BF">
        <w:rPr>
          <w:rFonts w:ascii="Times New Roman" w:eastAsia="Calibri" w:hAnsi="Times New Roman" w:cs="Times New Roman"/>
          <w:sz w:val="24"/>
          <w:szCs w:val="24"/>
        </w:rPr>
        <w:t>b</w:t>
      </w:r>
      <w:r w:rsidR="00EC504C" w:rsidRPr="00BF33BF">
        <w:rPr>
          <w:rFonts w:ascii="Times New Roman" w:eastAsia="Calibri" w:hAnsi="Times New Roman" w:cs="Times New Roman"/>
          <w:sz w:val="24"/>
          <w:szCs w:val="24"/>
        </w:rPr>
        <w:t xml:space="preserve">), </w:t>
      </w:r>
      <w:r w:rsidR="00EC504C" w:rsidRPr="00BF33BF">
        <w:rPr>
          <w:rFonts w:ascii="Times New Roman" w:eastAsia="Calibri" w:hAnsi="Times New Roman" w:cs="Times New Roman"/>
          <w:i/>
          <w:sz w:val="24"/>
          <w:szCs w:val="24"/>
        </w:rPr>
        <w:t>La povertà in Italia</w:t>
      </w:r>
      <w:r w:rsidR="00EC504C" w:rsidRPr="00BF33BF">
        <w:rPr>
          <w:rFonts w:ascii="Times New Roman" w:eastAsia="Calibri" w:hAnsi="Times New Roman" w:cs="Times New Roman"/>
          <w:sz w:val="24"/>
          <w:szCs w:val="24"/>
        </w:rPr>
        <w:t xml:space="preserve">, </w:t>
      </w:r>
      <w:hyperlink r:id="rId18" w:history="1">
        <w:r w:rsidR="00EC504C" w:rsidRPr="00BF33BF">
          <w:rPr>
            <w:rFonts w:ascii="Times New Roman" w:eastAsia="Calibri" w:hAnsi="Times New Roman" w:cs="Times New Roman"/>
            <w:color w:val="0000FF"/>
            <w:sz w:val="24"/>
            <w:szCs w:val="24"/>
            <w:u w:val="single"/>
          </w:rPr>
          <w:t>http://www.ist</w:t>
        </w:r>
        <w:r w:rsidR="00EC504C" w:rsidRPr="00BF33BF">
          <w:rPr>
            <w:rFonts w:ascii="Times New Roman" w:eastAsia="Calibri" w:hAnsi="Times New Roman" w:cs="Times New Roman"/>
            <w:color w:val="0000FF"/>
            <w:sz w:val="24"/>
            <w:szCs w:val="24"/>
            <w:u w:val="single"/>
          </w:rPr>
          <w:t>a</w:t>
        </w:r>
        <w:r w:rsidR="00EC504C" w:rsidRPr="00BF33BF">
          <w:rPr>
            <w:rFonts w:ascii="Times New Roman" w:eastAsia="Calibri" w:hAnsi="Times New Roman" w:cs="Times New Roman"/>
            <w:color w:val="0000FF"/>
            <w:sz w:val="24"/>
            <w:szCs w:val="24"/>
            <w:u w:val="single"/>
          </w:rPr>
          <w:t>t.it/it/a</w:t>
        </w:r>
        <w:r w:rsidR="00EC504C" w:rsidRPr="00BF33BF">
          <w:rPr>
            <w:rFonts w:ascii="Times New Roman" w:eastAsia="Calibri" w:hAnsi="Times New Roman" w:cs="Times New Roman"/>
            <w:color w:val="0000FF"/>
            <w:sz w:val="24"/>
            <w:szCs w:val="24"/>
            <w:u w:val="single"/>
          </w:rPr>
          <w:t>r</w:t>
        </w:r>
        <w:r w:rsidR="00EC504C" w:rsidRPr="00BF33BF">
          <w:rPr>
            <w:rFonts w:ascii="Times New Roman" w:eastAsia="Calibri" w:hAnsi="Times New Roman" w:cs="Times New Roman"/>
            <w:color w:val="0000FF"/>
            <w:sz w:val="24"/>
            <w:szCs w:val="24"/>
            <w:u w:val="single"/>
          </w:rPr>
          <w:t>chivio/189188</w:t>
        </w:r>
      </w:hyperlink>
    </w:p>
    <w:p w:rsidR="00EC504C" w:rsidRPr="00BF33BF" w:rsidRDefault="00EC504C" w:rsidP="00EC504C">
      <w:pPr>
        <w:spacing w:after="0" w:line="240" w:lineRule="auto"/>
        <w:rPr>
          <w:rFonts w:ascii="Times New Roman" w:eastAsia="Calibri" w:hAnsi="Times New Roman" w:cs="Times New Roman"/>
          <w:sz w:val="24"/>
          <w:szCs w:val="24"/>
        </w:rPr>
      </w:pPr>
    </w:p>
    <w:p w:rsidR="00EC504C" w:rsidRPr="00EC504C" w:rsidRDefault="00EC504C" w:rsidP="00EC504C">
      <w:pPr>
        <w:spacing w:after="0" w:line="240" w:lineRule="auto"/>
        <w:rPr>
          <w:rFonts w:ascii="Times New Roman" w:eastAsia="Calibri" w:hAnsi="Times New Roman" w:cs="Times New Roman"/>
          <w:sz w:val="24"/>
          <w:szCs w:val="24"/>
          <w:lang w:val="en-US"/>
        </w:rPr>
      </w:pPr>
      <w:r w:rsidRPr="00EC504C">
        <w:rPr>
          <w:rFonts w:ascii="Times New Roman" w:eastAsia="Calibri" w:hAnsi="Times New Roman" w:cs="Times New Roman"/>
          <w:sz w:val="24"/>
          <w:szCs w:val="24"/>
          <w:lang w:val="en-US"/>
        </w:rPr>
        <w:t xml:space="preserve">OECD (2016), </w:t>
      </w:r>
      <w:r w:rsidRPr="00EC504C">
        <w:rPr>
          <w:rFonts w:ascii="Times New Roman" w:eastAsia="Calibri" w:hAnsi="Times New Roman" w:cs="Times New Roman"/>
          <w:i/>
          <w:sz w:val="24"/>
          <w:szCs w:val="24"/>
          <w:lang w:val="en-US"/>
        </w:rPr>
        <w:t>Pisa 2015. Result in Focus</w:t>
      </w:r>
      <w:r w:rsidRPr="00EC504C">
        <w:rPr>
          <w:rFonts w:ascii="Times New Roman" w:eastAsia="Calibri" w:hAnsi="Times New Roman" w:cs="Times New Roman"/>
          <w:sz w:val="24"/>
          <w:szCs w:val="24"/>
          <w:lang w:val="en-US"/>
        </w:rPr>
        <w:t xml:space="preserve">, </w:t>
      </w:r>
      <w:hyperlink r:id="rId19" w:history="1">
        <w:r w:rsidRPr="00E971F1">
          <w:rPr>
            <w:rFonts w:ascii="Times New Roman" w:eastAsia="Calibri" w:hAnsi="Times New Roman" w:cs="Times New Roman"/>
            <w:color w:val="0000FF"/>
            <w:sz w:val="24"/>
            <w:szCs w:val="24"/>
            <w:u w:val="single"/>
            <w:lang w:val="en-US"/>
          </w:rPr>
          <w:t>https://www.oecd.org/pisa/pisa-2015-results-in-focus.pdf</w:t>
        </w:r>
      </w:hyperlink>
    </w:p>
    <w:p w:rsidR="00BF33BF" w:rsidRDefault="00BF33BF" w:rsidP="00EC504C">
      <w:pPr>
        <w:spacing w:after="0" w:line="240" w:lineRule="auto"/>
        <w:rPr>
          <w:rFonts w:ascii="Times New Roman" w:eastAsia="Calibri" w:hAnsi="Times New Roman" w:cs="Times New Roman"/>
          <w:sz w:val="24"/>
          <w:szCs w:val="24"/>
          <w:lang w:val="en-US"/>
        </w:rPr>
      </w:pPr>
    </w:p>
    <w:p w:rsidR="00BF33BF" w:rsidRDefault="00BF33BF" w:rsidP="00EC504C">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WeWorld (2016), </w:t>
      </w:r>
      <w:r w:rsidRPr="00BF33BF">
        <w:rPr>
          <w:rFonts w:ascii="Times New Roman" w:eastAsia="Calibri" w:hAnsi="Times New Roman" w:cs="Times New Roman"/>
          <w:i/>
          <w:sz w:val="24"/>
          <w:szCs w:val="24"/>
          <w:lang w:val="en-US"/>
        </w:rPr>
        <w:t>Survived</w:t>
      </w:r>
      <w:r>
        <w:rPr>
          <w:rFonts w:ascii="Times New Roman" w:eastAsia="Calibri" w:hAnsi="Times New Roman" w:cs="Times New Roman"/>
          <w:sz w:val="24"/>
          <w:szCs w:val="24"/>
          <w:lang w:val="en-US"/>
        </w:rPr>
        <w:t xml:space="preserve">, </w:t>
      </w:r>
      <w:hyperlink r:id="rId20" w:history="1">
        <w:r w:rsidRPr="00670834">
          <w:rPr>
            <w:rStyle w:val="Collegamentoipertestuale"/>
            <w:rFonts w:ascii="Times New Roman" w:eastAsia="Calibri" w:hAnsi="Times New Roman" w:cs="Times New Roman"/>
            <w:sz w:val="24"/>
            <w:szCs w:val="24"/>
            <w:lang w:val="en-US"/>
          </w:rPr>
          <w:t>https://www.weworld.it/pubblicazioni/2016/Survived/index.html</w:t>
        </w:r>
      </w:hyperlink>
    </w:p>
    <w:p w:rsidR="00BF33BF" w:rsidRDefault="00BF33BF" w:rsidP="00EC504C">
      <w:pPr>
        <w:spacing w:after="0" w:line="240" w:lineRule="auto"/>
        <w:rPr>
          <w:rFonts w:ascii="Times New Roman" w:eastAsia="Calibri" w:hAnsi="Times New Roman" w:cs="Times New Roman"/>
          <w:sz w:val="24"/>
          <w:szCs w:val="24"/>
          <w:lang w:val="en-US"/>
        </w:rPr>
      </w:pPr>
    </w:p>
    <w:p w:rsidR="00BF33BF" w:rsidRDefault="00BF33BF" w:rsidP="00BF33BF">
      <w:pPr>
        <w:spacing w:after="0" w:line="24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WeWorld (2014), </w:t>
      </w:r>
      <w:r w:rsidR="00EC504C" w:rsidRPr="00BF33BF">
        <w:rPr>
          <w:rFonts w:ascii="Times New Roman" w:eastAsia="Calibri" w:hAnsi="Times New Roman" w:cs="Times New Roman"/>
          <w:i/>
          <w:sz w:val="24"/>
          <w:szCs w:val="24"/>
          <w:lang w:val="en-US"/>
        </w:rPr>
        <w:t>LOST</w:t>
      </w:r>
      <w:r>
        <w:rPr>
          <w:rFonts w:ascii="Times New Roman" w:eastAsia="Calibri" w:hAnsi="Times New Roman" w:cs="Times New Roman"/>
          <w:sz w:val="24"/>
          <w:szCs w:val="24"/>
          <w:lang w:val="en-US"/>
        </w:rPr>
        <w:t xml:space="preserve">. </w:t>
      </w:r>
      <w:proofErr w:type="spellStart"/>
      <w:r w:rsidR="008E1486" w:rsidRPr="008E1486">
        <w:rPr>
          <w:rFonts w:ascii="Times New Roman" w:eastAsia="Calibri" w:hAnsi="Times New Roman" w:cs="Times New Roman"/>
          <w:i/>
          <w:sz w:val="24"/>
          <w:szCs w:val="24"/>
          <w:lang w:val="en-US"/>
        </w:rPr>
        <w:t>Dispersione</w:t>
      </w:r>
      <w:proofErr w:type="spellEnd"/>
      <w:r w:rsidR="008E1486" w:rsidRPr="008E1486">
        <w:rPr>
          <w:rFonts w:ascii="Times New Roman" w:eastAsia="Calibri" w:hAnsi="Times New Roman" w:cs="Times New Roman"/>
          <w:i/>
          <w:sz w:val="24"/>
          <w:szCs w:val="24"/>
          <w:lang w:val="en-US"/>
        </w:rPr>
        <w:t xml:space="preserve"> </w:t>
      </w:r>
      <w:proofErr w:type="spellStart"/>
      <w:r w:rsidR="008E1486" w:rsidRPr="008E1486">
        <w:rPr>
          <w:rFonts w:ascii="Times New Roman" w:eastAsia="Calibri" w:hAnsi="Times New Roman" w:cs="Times New Roman"/>
          <w:i/>
          <w:sz w:val="24"/>
          <w:szCs w:val="24"/>
          <w:lang w:val="en-US"/>
        </w:rPr>
        <w:t>scolastica</w:t>
      </w:r>
      <w:proofErr w:type="spellEnd"/>
      <w:r w:rsidR="008E1486" w:rsidRPr="008E1486">
        <w:rPr>
          <w:rFonts w:ascii="Times New Roman" w:eastAsia="Calibri" w:hAnsi="Times New Roman" w:cs="Times New Roman"/>
          <w:i/>
          <w:sz w:val="24"/>
          <w:szCs w:val="24"/>
          <w:lang w:val="en-US"/>
        </w:rPr>
        <w:t xml:space="preserve">. </w:t>
      </w:r>
      <w:r w:rsidR="008E1486" w:rsidRPr="008E1486">
        <w:rPr>
          <w:rFonts w:ascii="Times New Roman" w:eastAsia="Calibri" w:hAnsi="Times New Roman" w:cs="Times New Roman"/>
          <w:i/>
          <w:sz w:val="24"/>
          <w:szCs w:val="24"/>
        </w:rPr>
        <w:t>Il costo per la collettività e il ruolo di scuole e terzo settore</w:t>
      </w:r>
      <w:r w:rsidR="008E1486" w:rsidRPr="008E1486">
        <w:rPr>
          <w:rFonts w:ascii="Times New Roman" w:eastAsia="Calibri" w:hAnsi="Times New Roman" w:cs="Times New Roman"/>
          <w:sz w:val="24"/>
          <w:szCs w:val="24"/>
        </w:rPr>
        <w:t xml:space="preserve"> (</w:t>
      </w:r>
      <w:proofErr w:type="spellStart"/>
      <w:r w:rsidR="008E1486" w:rsidRPr="008E1486">
        <w:rPr>
          <w:rFonts w:ascii="Times New Roman" w:eastAsia="Calibri" w:hAnsi="Times New Roman" w:cs="Times New Roman"/>
          <w:sz w:val="24"/>
          <w:szCs w:val="24"/>
        </w:rPr>
        <w:t>trad</w:t>
      </w:r>
      <w:proofErr w:type="spellEnd"/>
      <w:r w:rsidR="008E1486" w:rsidRPr="008E1486">
        <w:rPr>
          <w:rFonts w:ascii="Times New Roman" w:eastAsia="Calibri" w:hAnsi="Times New Roman" w:cs="Times New Roman"/>
          <w:sz w:val="24"/>
          <w:szCs w:val="24"/>
        </w:rPr>
        <w:t xml:space="preserve">. </w:t>
      </w:r>
      <w:r w:rsidRPr="001446E8">
        <w:rPr>
          <w:rFonts w:ascii="Times New Roman" w:eastAsia="Calibri" w:hAnsi="Times New Roman" w:cs="Times New Roman"/>
          <w:i/>
          <w:sz w:val="24"/>
          <w:szCs w:val="24"/>
          <w:lang w:val="en-US"/>
        </w:rPr>
        <w:t>Early School Leaving: the cost for the community and the role of Third Sector organizations</w:t>
      </w:r>
      <w:r w:rsidR="008E1486">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 xml:space="preserve">, </w:t>
      </w:r>
      <w:hyperlink r:id="rId21" w:history="1">
        <w:r w:rsidRPr="00670834">
          <w:rPr>
            <w:rStyle w:val="Collegamentoipertestuale"/>
            <w:rFonts w:ascii="Times New Roman" w:eastAsia="Calibri" w:hAnsi="Times New Roman" w:cs="Times New Roman"/>
            <w:sz w:val="24"/>
            <w:szCs w:val="24"/>
            <w:lang w:val="en-US"/>
          </w:rPr>
          <w:t>https://www.weworld.it/pubblicazioni/2014/Lost/index.html</w:t>
        </w:r>
      </w:hyperlink>
    </w:p>
    <w:p w:rsidR="00BF33BF" w:rsidRPr="00BF33BF" w:rsidRDefault="00BF33BF" w:rsidP="00BF33BF">
      <w:pPr>
        <w:spacing w:after="0" w:line="240" w:lineRule="auto"/>
        <w:rPr>
          <w:rFonts w:ascii="Times New Roman" w:eastAsia="Calibri" w:hAnsi="Times New Roman" w:cs="Times New Roman"/>
          <w:sz w:val="24"/>
          <w:szCs w:val="24"/>
          <w:lang w:val="en-US"/>
        </w:rPr>
      </w:pPr>
    </w:p>
    <w:sectPr w:rsidR="00BF33BF" w:rsidRPr="00BF33BF" w:rsidSect="00D41062">
      <w:headerReference w:type="default" r:id="rId22"/>
      <w:footerReference w:type="default" r:id="rId23"/>
      <w:pgSz w:w="12240" w:h="15840"/>
      <w:pgMar w:top="1134" w:right="1440" w:bottom="2268"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2C7" w:rsidRDefault="006202C7" w:rsidP="007B4539">
      <w:pPr>
        <w:spacing w:line="240" w:lineRule="auto"/>
      </w:pPr>
      <w:r>
        <w:separator/>
      </w:r>
    </w:p>
  </w:endnote>
  <w:endnote w:type="continuationSeparator" w:id="0">
    <w:p w:rsidR="006202C7" w:rsidRDefault="006202C7" w:rsidP="007B45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HelveticaNeueLT Std Me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C7" w:rsidRPr="00EC504C" w:rsidRDefault="006202C7" w:rsidP="00EC504C">
    <w:pPr>
      <w:pStyle w:val="Normale1"/>
      <w:jc w:val="center"/>
      <w:rPr>
        <w:rFonts w:ascii="Times New Roman" w:hAnsi="Times New Roman" w:cs="Times New Roman"/>
        <w:sz w:val="24"/>
        <w:szCs w:val="24"/>
      </w:rPr>
    </w:pPr>
    <w:r w:rsidRPr="00EC504C">
      <w:rPr>
        <w:rFonts w:ascii="Times New Roman" w:hAnsi="Times New Roman" w:cs="Times New Roman"/>
        <w:sz w:val="24"/>
        <w:szCs w:val="24"/>
      </w:rPr>
      <w:fldChar w:fldCharType="begin"/>
    </w:r>
    <w:r w:rsidRPr="00EC504C">
      <w:rPr>
        <w:rFonts w:ascii="Times New Roman" w:hAnsi="Times New Roman" w:cs="Times New Roman"/>
        <w:sz w:val="24"/>
        <w:szCs w:val="24"/>
      </w:rPr>
      <w:instrText>PAGE</w:instrText>
    </w:r>
    <w:r w:rsidRPr="00EC504C">
      <w:rPr>
        <w:rFonts w:ascii="Times New Roman" w:hAnsi="Times New Roman" w:cs="Times New Roman"/>
        <w:sz w:val="24"/>
        <w:szCs w:val="24"/>
      </w:rPr>
      <w:fldChar w:fldCharType="separate"/>
    </w:r>
    <w:r w:rsidR="00113E3F">
      <w:rPr>
        <w:rFonts w:ascii="Times New Roman" w:hAnsi="Times New Roman" w:cs="Times New Roman"/>
        <w:noProof/>
        <w:sz w:val="24"/>
        <w:szCs w:val="24"/>
      </w:rPr>
      <w:t>15</w:t>
    </w:r>
    <w:r w:rsidRPr="00EC504C">
      <w:rPr>
        <w:rFonts w:ascii="Times New Roman" w:hAnsi="Times New Roman" w:cs="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2C7" w:rsidRDefault="006202C7" w:rsidP="007B4539">
      <w:pPr>
        <w:spacing w:line="240" w:lineRule="auto"/>
      </w:pPr>
      <w:r>
        <w:separator/>
      </w:r>
    </w:p>
  </w:footnote>
  <w:footnote w:type="continuationSeparator" w:id="0">
    <w:p w:rsidR="006202C7" w:rsidRDefault="006202C7" w:rsidP="007B453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2C7" w:rsidRDefault="006202C7">
    <w:pPr>
      <w:pStyle w:val="Normale1"/>
    </w:pPr>
    <w:r>
      <w:rPr>
        <w:noProof/>
      </w:rPr>
      <w:drawing>
        <wp:anchor distT="0" distB="0" distL="114300" distR="114300" simplePos="0" relativeHeight="251659264" behindDoc="1" locked="0" layoutInCell="1" allowOverlap="1" wp14:anchorId="4E3E13A8" wp14:editId="3E84F12B">
          <wp:simplePos x="0" y="0"/>
          <wp:positionH relativeFrom="column">
            <wp:posOffset>2376170</wp:posOffset>
          </wp:positionH>
          <wp:positionV relativeFrom="paragraph">
            <wp:posOffset>62865</wp:posOffset>
          </wp:positionV>
          <wp:extent cx="3664585" cy="744855"/>
          <wp:effectExtent l="0" t="0" r="0" b="0"/>
          <wp:wrapTight wrapText="right">
            <wp:wrapPolygon edited="0">
              <wp:start x="0" y="0"/>
              <wp:lineTo x="0" y="20992"/>
              <wp:lineTo x="21447" y="20992"/>
              <wp:lineTo x="21447" y="0"/>
              <wp:lineTo x="0" y="0"/>
            </wp:wrapPolygon>
          </wp:wrapTight>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64585" cy="74485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0D24CFFF" wp14:editId="584C2727">
          <wp:simplePos x="0" y="0"/>
          <wp:positionH relativeFrom="column">
            <wp:posOffset>-557530</wp:posOffset>
          </wp:positionH>
          <wp:positionV relativeFrom="paragraph">
            <wp:posOffset>60960</wp:posOffset>
          </wp:positionV>
          <wp:extent cx="2353945" cy="694690"/>
          <wp:effectExtent l="0" t="0" r="8255" b="0"/>
          <wp:wrapTight wrapText="left">
            <wp:wrapPolygon edited="0">
              <wp:start x="0" y="0"/>
              <wp:lineTo x="0" y="20731"/>
              <wp:lineTo x="21501" y="20731"/>
              <wp:lineTo x="21501" y="0"/>
              <wp:lineTo x="0" y="0"/>
            </wp:wrapPolygon>
          </wp:wrapT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53945" cy="694690"/>
                  </a:xfrm>
                  <a:prstGeom prst="rect">
                    <a:avLst/>
                  </a:prstGeom>
                  <a:noFill/>
                </pic:spPr>
              </pic:pic>
            </a:graphicData>
          </a:graphic>
          <wp14:sizeRelH relativeFrom="margin">
            <wp14:pctWidth>0</wp14:pctWidth>
          </wp14:sizeRelH>
          <wp14:sizeRelV relativeFrom="margin">
            <wp14:pctHeight>0</wp14:pctHeight>
          </wp14:sizeRelV>
        </wp:anchor>
      </w:drawing>
    </w:r>
  </w:p>
  <w:p w:rsidR="006202C7" w:rsidRDefault="006202C7">
    <w:pPr>
      <w:pStyle w:val="Normale1"/>
    </w:pPr>
  </w:p>
  <w:p w:rsidR="006202C7" w:rsidRDefault="006202C7">
    <w:pPr>
      <w:pStyle w:val="Normale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0365"/>
    <w:multiLevelType w:val="multilevel"/>
    <w:tmpl w:val="F224CE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003765"/>
    <w:multiLevelType w:val="multilevel"/>
    <w:tmpl w:val="92EE3E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7FF573F"/>
    <w:multiLevelType w:val="multilevel"/>
    <w:tmpl w:val="3D58B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31D72E5"/>
    <w:multiLevelType w:val="multilevel"/>
    <w:tmpl w:val="3D58B0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D4D3C6F"/>
    <w:multiLevelType w:val="hybridMultilevel"/>
    <w:tmpl w:val="A9BE7892"/>
    <w:lvl w:ilvl="0" w:tplc="8FD43424">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0FA1B6A"/>
    <w:multiLevelType w:val="multilevel"/>
    <w:tmpl w:val="D7A69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665B701D"/>
    <w:multiLevelType w:val="multilevel"/>
    <w:tmpl w:val="AC4089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6AF87209"/>
    <w:multiLevelType w:val="multilevel"/>
    <w:tmpl w:val="A9BE7892"/>
    <w:lvl w:ilvl="0">
      <w:numFmt w:val="bullet"/>
      <w:lvlText w:val="•"/>
      <w:lvlJc w:val="left"/>
      <w:pPr>
        <w:ind w:left="720" w:hanging="360"/>
      </w:pPr>
      <w:rPr>
        <w:rFonts w:ascii="Arial" w:eastAsia="Arial"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1"/>
  </w:num>
  <w:num w:numId="6">
    <w:abstractNumId w:val="2"/>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hyphenationZone w:val="283"/>
  <w:characterSpacingControl w:val="doNotCompress"/>
  <w:hdrShapeDefaults>
    <o:shapedefaults v:ext="edit" spidmax="205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539"/>
    <w:rsid w:val="000A42D5"/>
    <w:rsid w:val="00113E3F"/>
    <w:rsid w:val="001446E8"/>
    <w:rsid w:val="00164C60"/>
    <w:rsid w:val="001812E2"/>
    <w:rsid w:val="002D2A58"/>
    <w:rsid w:val="002E6F39"/>
    <w:rsid w:val="003270B6"/>
    <w:rsid w:val="0037216D"/>
    <w:rsid w:val="004409A0"/>
    <w:rsid w:val="004A7BF5"/>
    <w:rsid w:val="004B1F64"/>
    <w:rsid w:val="004B5AEA"/>
    <w:rsid w:val="005D34F5"/>
    <w:rsid w:val="005D77D8"/>
    <w:rsid w:val="006202C7"/>
    <w:rsid w:val="00652AA3"/>
    <w:rsid w:val="006D1352"/>
    <w:rsid w:val="00702785"/>
    <w:rsid w:val="00710999"/>
    <w:rsid w:val="007B4539"/>
    <w:rsid w:val="007D6434"/>
    <w:rsid w:val="007F3B23"/>
    <w:rsid w:val="00814984"/>
    <w:rsid w:val="00844BFF"/>
    <w:rsid w:val="008844AB"/>
    <w:rsid w:val="00892FE4"/>
    <w:rsid w:val="008A5BAD"/>
    <w:rsid w:val="008B1ECC"/>
    <w:rsid w:val="008E1486"/>
    <w:rsid w:val="00920EEB"/>
    <w:rsid w:val="00960CB7"/>
    <w:rsid w:val="00B7122C"/>
    <w:rsid w:val="00BF33BF"/>
    <w:rsid w:val="00C11B7A"/>
    <w:rsid w:val="00C45A94"/>
    <w:rsid w:val="00CE2D4C"/>
    <w:rsid w:val="00D37716"/>
    <w:rsid w:val="00D41062"/>
    <w:rsid w:val="00D955C4"/>
    <w:rsid w:val="00E15BF2"/>
    <w:rsid w:val="00E44E7C"/>
    <w:rsid w:val="00E971F1"/>
    <w:rsid w:val="00EC504C"/>
    <w:rsid w:val="00ED6C68"/>
    <w:rsid w:val="00EE7E26"/>
    <w:rsid w:val="00F26348"/>
    <w:rsid w:val="00F34A2A"/>
    <w:rsid w:val="00FF3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BF2"/>
  </w:style>
  <w:style w:type="paragraph" w:styleId="Titolo1">
    <w:name w:val="heading 1"/>
    <w:basedOn w:val="Normale"/>
    <w:next w:val="Normale"/>
    <w:link w:val="Titolo1Carattere"/>
    <w:uiPriority w:val="9"/>
    <w:qFormat/>
    <w:rsid w:val="00372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72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7216D"/>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3721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3721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3721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3721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37216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3721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B4539"/>
  </w:style>
  <w:style w:type="paragraph" w:styleId="Titolo">
    <w:name w:val="Title"/>
    <w:basedOn w:val="Normale"/>
    <w:next w:val="Normale"/>
    <w:link w:val="TitoloCarattere"/>
    <w:uiPriority w:val="10"/>
    <w:qFormat/>
    <w:rsid w:val="003721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37216D"/>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ellanormale"/>
    <w:rsid w:val="007B4539"/>
    <w:tblPr>
      <w:tblStyleRowBandSize w:val="1"/>
      <w:tblStyleColBandSize w:val="1"/>
    </w:tblPr>
  </w:style>
  <w:style w:type="table" w:customStyle="1" w:styleId="a0">
    <w:basedOn w:val="Tabellanormale"/>
    <w:rsid w:val="007B4539"/>
    <w:tblPr>
      <w:tblStyleRowBandSize w:val="1"/>
      <w:tblStyleColBandSize w:val="1"/>
    </w:tblPr>
  </w:style>
  <w:style w:type="table" w:customStyle="1" w:styleId="a1">
    <w:basedOn w:val="Tabellanormale"/>
    <w:rsid w:val="007B4539"/>
    <w:tblPr>
      <w:tblStyleRowBandSize w:val="1"/>
      <w:tblStyleColBandSize w:val="1"/>
    </w:tblPr>
  </w:style>
  <w:style w:type="paragraph" w:styleId="Sommario2">
    <w:name w:val="toc 2"/>
    <w:basedOn w:val="Normale"/>
    <w:next w:val="Normale"/>
    <w:autoRedefine/>
    <w:uiPriority w:val="39"/>
    <w:unhideWhenUsed/>
    <w:rsid w:val="00710999"/>
    <w:pPr>
      <w:spacing w:after="100"/>
      <w:ind w:left="220"/>
    </w:pPr>
  </w:style>
  <w:style w:type="character" w:styleId="Collegamentoipertestuale">
    <w:name w:val="Hyperlink"/>
    <w:basedOn w:val="Carpredefinitoparagrafo"/>
    <w:uiPriority w:val="99"/>
    <w:unhideWhenUsed/>
    <w:rsid w:val="00710999"/>
    <w:rPr>
      <w:color w:val="0000FF" w:themeColor="hyperlink"/>
      <w:u w:val="single"/>
    </w:rPr>
  </w:style>
  <w:style w:type="paragraph" w:styleId="Testofumetto">
    <w:name w:val="Balloon Text"/>
    <w:basedOn w:val="Normale"/>
    <w:link w:val="TestofumettoCarattere"/>
    <w:uiPriority w:val="99"/>
    <w:semiHidden/>
    <w:unhideWhenUsed/>
    <w:rsid w:val="007109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0999"/>
    <w:rPr>
      <w:rFonts w:ascii="Tahoma" w:hAnsi="Tahoma" w:cs="Tahoma"/>
      <w:sz w:val="16"/>
      <w:szCs w:val="16"/>
    </w:rPr>
  </w:style>
  <w:style w:type="paragraph" w:styleId="Nessunaspaziatura">
    <w:name w:val="No Spacing"/>
    <w:uiPriority w:val="1"/>
    <w:qFormat/>
    <w:rsid w:val="0037216D"/>
    <w:pPr>
      <w:spacing w:after="0" w:line="240" w:lineRule="auto"/>
    </w:pPr>
  </w:style>
  <w:style w:type="paragraph" w:styleId="Titolosommario">
    <w:name w:val="TOC Heading"/>
    <w:basedOn w:val="Titolo1"/>
    <w:next w:val="Normale"/>
    <w:uiPriority w:val="39"/>
    <w:unhideWhenUsed/>
    <w:qFormat/>
    <w:rsid w:val="0037216D"/>
    <w:pPr>
      <w:outlineLvl w:val="9"/>
    </w:pPr>
  </w:style>
  <w:style w:type="character" w:styleId="Enfasiintensa">
    <w:name w:val="Intense Emphasis"/>
    <w:basedOn w:val="Carpredefinitoparagrafo"/>
    <w:uiPriority w:val="21"/>
    <w:qFormat/>
    <w:rsid w:val="0037216D"/>
    <w:rPr>
      <w:b/>
      <w:bCs/>
      <w:i/>
      <w:iCs/>
      <w:color w:val="4F81BD" w:themeColor="accent1"/>
    </w:rPr>
  </w:style>
  <w:style w:type="character" w:customStyle="1" w:styleId="Titolo7Carattere">
    <w:name w:val="Titolo 7 Carattere"/>
    <w:basedOn w:val="Carpredefinitoparagrafo"/>
    <w:link w:val="Titolo7"/>
    <w:uiPriority w:val="9"/>
    <w:rsid w:val="0037216D"/>
    <w:rPr>
      <w:rFonts w:asciiTheme="majorHAnsi" w:eastAsiaTheme="majorEastAsia" w:hAnsiTheme="majorHAnsi" w:cstheme="majorBidi"/>
      <w:i/>
      <w:iCs/>
      <w:color w:val="404040" w:themeColor="text1" w:themeTint="BF"/>
    </w:rPr>
  </w:style>
  <w:style w:type="character" w:customStyle="1" w:styleId="Titolo1Carattere">
    <w:name w:val="Titolo 1 Carattere"/>
    <w:basedOn w:val="Carpredefinitoparagrafo"/>
    <w:link w:val="Titolo1"/>
    <w:uiPriority w:val="9"/>
    <w:rsid w:val="0037216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7216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37216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37216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37216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37216D"/>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rsid w:val="0037216D"/>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rsid w:val="0037216D"/>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37216D"/>
    <w:pPr>
      <w:spacing w:line="240" w:lineRule="auto"/>
    </w:pPr>
    <w:rPr>
      <w:b/>
      <w:bCs/>
      <w:color w:val="4F81BD" w:themeColor="accent1"/>
      <w:sz w:val="18"/>
      <w:szCs w:val="18"/>
    </w:rPr>
  </w:style>
  <w:style w:type="character" w:customStyle="1" w:styleId="TitoloCarattere">
    <w:name w:val="Titolo Carattere"/>
    <w:basedOn w:val="Carpredefinitoparagrafo"/>
    <w:link w:val="Titolo"/>
    <w:uiPriority w:val="10"/>
    <w:rsid w:val="0037216D"/>
    <w:rPr>
      <w:rFonts w:asciiTheme="majorHAnsi" w:eastAsiaTheme="majorEastAsia" w:hAnsiTheme="majorHAnsi" w:cstheme="majorBidi"/>
      <w:color w:val="17365D" w:themeColor="text2" w:themeShade="BF"/>
      <w:spacing w:val="5"/>
      <w:kern w:val="28"/>
      <w:sz w:val="52"/>
      <w:szCs w:val="52"/>
    </w:rPr>
  </w:style>
  <w:style w:type="character" w:customStyle="1" w:styleId="SottotitoloCarattere">
    <w:name w:val="Sottotitolo Carattere"/>
    <w:basedOn w:val="Carpredefinitoparagrafo"/>
    <w:link w:val="Sottotitolo"/>
    <w:uiPriority w:val="11"/>
    <w:rsid w:val="0037216D"/>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37216D"/>
    <w:rPr>
      <w:b/>
      <w:bCs/>
    </w:rPr>
  </w:style>
  <w:style w:type="character" w:styleId="Enfasicorsivo">
    <w:name w:val="Emphasis"/>
    <w:basedOn w:val="Carpredefinitoparagrafo"/>
    <w:uiPriority w:val="20"/>
    <w:qFormat/>
    <w:rsid w:val="0037216D"/>
    <w:rPr>
      <w:i/>
      <w:iCs/>
    </w:rPr>
  </w:style>
  <w:style w:type="paragraph" w:styleId="Paragrafoelenco">
    <w:name w:val="List Paragraph"/>
    <w:basedOn w:val="Normale"/>
    <w:uiPriority w:val="34"/>
    <w:qFormat/>
    <w:rsid w:val="0037216D"/>
    <w:pPr>
      <w:ind w:left="720"/>
      <w:contextualSpacing/>
    </w:pPr>
  </w:style>
  <w:style w:type="paragraph" w:styleId="Citazione">
    <w:name w:val="Quote"/>
    <w:basedOn w:val="Normale"/>
    <w:next w:val="Normale"/>
    <w:link w:val="CitazioneCarattere"/>
    <w:uiPriority w:val="29"/>
    <w:qFormat/>
    <w:rsid w:val="0037216D"/>
    <w:rPr>
      <w:i/>
      <w:iCs/>
      <w:color w:val="000000" w:themeColor="text1"/>
    </w:rPr>
  </w:style>
  <w:style w:type="character" w:customStyle="1" w:styleId="CitazioneCarattere">
    <w:name w:val="Citazione Carattere"/>
    <w:basedOn w:val="Carpredefinitoparagrafo"/>
    <w:link w:val="Citazione"/>
    <w:uiPriority w:val="29"/>
    <w:rsid w:val="0037216D"/>
    <w:rPr>
      <w:i/>
      <w:iCs/>
      <w:color w:val="000000" w:themeColor="text1"/>
    </w:rPr>
  </w:style>
  <w:style w:type="paragraph" w:styleId="Citazioneintensa">
    <w:name w:val="Intense Quote"/>
    <w:basedOn w:val="Normale"/>
    <w:next w:val="Normale"/>
    <w:link w:val="CitazioneintensaCarattere"/>
    <w:uiPriority w:val="30"/>
    <w:qFormat/>
    <w:rsid w:val="0037216D"/>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37216D"/>
    <w:rPr>
      <w:b/>
      <w:bCs/>
      <w:i/>
      <w:iCs/>
      <w:color w:val="4F81BD" w:themeColor="accent1"/>
    </w:rPr>
  </w:style>
  <w:style w:type="character" w:styleId="Enfasidelicata">
    <w:name w:val="Subtle Emphasis"/>
    <w:basedOn w:val="Carpredefinitoparagrafo"/>
    <w:uiPriority w:val="19"/>
    <w:qFormat/>
    <w:rsid w:val="0037216D"/>
    <w:rPr>
      <w:i/>
      <w:iCs/>
      <w:color w:val="808080" w:themeColor="text1" w:themeTint="7F"/>
    </w:rPr>
  </w:style>
  <w:style w:type="character" w:styleId="Riferimentodelicato">
    <w:name w:val="Subtle Reference"/>
    <w:basedOn w:val="Carpredefinitoparagrafo"/>
    <w:uiPriority w:val="31"/>
    <w:qFormat/>
    <w:rsid w:val="0037216D"/>
    <w:rPr>
      <w:smallCaps/>
      <w:color w:val="C0504D" w:themeColor="accent2"/>
      <w:u w:val="single"/>
    </w:rPr>
  </w:style>
  <w:style w:type="character" w:styleId="Riferimentointenso">
    <w:name w:val="Intense Reference"/>
    <w:basedOn w:val="Carpredefinitoparagrafo"/>
    <w:uiPriority w:val="32"/>
    <w:qFormat/>
    <w:rsid w:val="0037216D"/>
    <w:rPr>
      <w:b/>
      <w:bCs/>
      <w:smallCaps/>
      <w:color w:val="C0504D" w:themeColor="accent2"/>
      <w:spacing w:val="5"/>
      <w:u w:val="single"/>
    </w:rPr>
  </w:style>
  <w:style w:type="character" w:styleId="Titolodellibro">
    <w:name w:val="Book Title"/>
    <w:basedOn w:val="Carpredefinitoparagrafo"/>
    <w:uiPriority w:val="33"/>
    <w:qFormat/>
    <w:rsid w:val="0037216D"/>
    <w:rPr>
      <w:b/>
      <w:bCs/>
      <w:smallCaps/>
      <w:spacing w:val="5"/>
    </w:rPr>
  </w:style>
  <w:style w:type="paragraph" w:styleId="Sommario1">
    <w:name w:val="toc 1"/>
    <w:basedOn w:val="Normale"/>
    <w:next w:val="Normale"/>
    <w:autoRedefine/>
    <w:uiPriority w:val="39"/>
    <w:unhideWhenUsed/>
    <w:rsid w:val="007F3B23"/>
    <w:pPr>
      <w:spacing w:after="100"/>
    </w:pPr>
  </w:style>
  <w:style w:type="paragraph" w:styleId="Sommario3">
    <w:name w:val="toc 3"/>
    <w:basedOn w:val="Normale"/>
    <w:next w:val="Normale"/>
    <w:autoRedefine/>
    <w:uiPriority w:val="39"/>
    <w:unhideWhenUsed/>
    <w:rsid w:val="007F3B23"/>
    <w:pPr>
      <w:spacing w:after="100"/>
      <w:ind w:left="440"/>
    </w:pPr>
  </w:style>
  <w:style w:type="paragraph" w:styleId="Indicedellefigure">
    <w:name w:val="table of figures"/>
    <w:basedOn w:val="Normale"/>
    <w:next w:val="Normale"/>
    <w:uiPriority w:val="99"/>
    <w:unhideWhenUsed/>
    <w:rsid w:val="00D41062"/>
    <w:pPr>
      <w:spacing w:after="0"/>
    </w:pPr>
    <w:rPr>
      <w:lang w:val="en-GB" w:eastAsia="en-GB"/>
    </w:rPr>
  </w:style>
  <w:style w:type="character" w:styleId="Rimandocommento">
    <w:name w:val="annotation reference"/>
    <w:basedOn w:val="Carpredefinitoparagrafo"/>
    <w:uiPriority w:val="99"/>
    <w:semiHidden/>
    <w:unhideWhenUsed/>
    <w:rsid w:val="00C11B7A"/>
    <w:rPr>
      <w:sz w:val="16"/>
      <w:szCs w:val="16"/>
    </w:rPr>
  </w:style>
  <w:style w:type="paragraph" w:customStyle="1" w:styleId="Testocommento1">
    <w:name w:val="Testo commento1"/>
    <w:basedOn w:val="Normale"/>
    <w:next w:val="Testocommento"/>
    <w:link w:val="TestocommentoCarattere"/>
    <w:uiPriority w:val="99"/>
    <w:semiHidden/>
    <w:unhideWhenUsed/>
    <w:rsid w:val="00C11B7A"/>
    <w:pPr>
      <w:spacing w:after="0" w:line="240" w:lineRule="auto"/>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1"/>
    <w:uiPriority w:val="99"/>
    <w:semiHidden/>
    <w:rsid w:val="00C11B7A"/>
    <w:rPr>
      <w:rFonts w:ascii="Times New Roman" w:hAnsi="Times New Roman" w:cs="Times New Roman"/>
      <w:sz w:val="20"/>
      <w:szCs w:val="20"/>
      <w:lang w:eastAsia="it-IT"/>
    </w:rPr>
  </w:style>
  <w:style w:type="paragraph" w:styleId="Testocommento">
    <w:name w:val="annotation text"/>
    <w:basedOn w:val="Normale"/>
    <w:link w:val="TestocommentoCarattere1"/>
    <w:uiPriority w:val="99"/>
    <w:semiHidden/>
    <w:unhideWhenUsed/>
    <w:rsid w:val="00C11B7A"/>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C11B7A"/>
    <w:rPr>
      <w:sz w:val="20"/>
      <w:szCs w:val="20"/>
    </w:rPr>
  </w:style>
  <w:style w:type="paragraph" w:styleId="Intestazione">
    <w:name w:val="header"/>
    <w:basedOn w:val="Normale"/>
    <w:link w:val="IntestazioneCarattere"/>
    <w:uiPriority w:val="99"/>
    <w:unhideWhenUsed/>
    <w:rsid w:val="00C11B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1B7A"/>
  </w:style>
  <w:style w:type="paragraph" w:styleId="Pidipagina">
    <w:name w:val="footer"/>
    <w:basedOn w:val="Normale"/>
    <w:link w:val="PidipaginaCarattere"/>
    <w:uiPriority w:val="99"/>
    <w:unhideWhenUsed/>
    <w:rsid w:val="00C11B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1B7A"/>
  </w:style>
  <w:style w:type="table" w:styleId="Grigliatabella">
    <w:name w:val="Table Grid"/>
    <w:basedOn w:val="Tabellanormale"/>
    <w:uiPriority w:val="59"/>
    <w:rsid w:val="007D643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C504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BF2"/>
  </w:style>
  <w:style w:type="paragraph" w:styleId="Titolo1">
    <w:name w:val="heading 1"/>
    <w:basedOn w:val="Normale"/>
    <w:next w:val="Normale"/>
    <w:link w:val="Titolo1Carattere"/>
    <w:uiPriority w:val="9"/>
    <w:qFormat/>
    <w:rsid w:val="003721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3721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37216D"/>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37216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37216D"/>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37216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unhideWhenUsed/>
    <w:qFormat/>
    <w:rsid w:val="0037216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unhideWhenUsed/>
    <w:qFormat/>
    <w:rsid w:val="0037216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37216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7B4539"/>
  </w:style>
  <w:style w:type="paragraph" w:styleId="Titolo">
    <w:name w:val="Title"/>
    <w:basedOn w:val="Normale"/>
    <w:next w:val="Normale"/>
    <w:link w:val="TitoloCarattere"/>
    <w:uiPriority w:val="10"/>
    <w:qFormat/>
    <w:rsid w:val="003721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37216D"/>
    <w:pPr>
      <w:numPr>
        <w:ilvl w:val="1"/>
      </w:numPr>
    </w:pPr>
    <w:rPr>
      <w:rFonts w:asciiTheme="majorHAnsi" w:eastAsiaTheme="majorEastAsia" w:hAnsiTheme="majorHAnsi" w:cstheme="majorBidi"/>
      <w:i/>
      <w:iCs/>
      <w:color w:val="4F81BD" w:themeColor="accent1"/>
      <w:spacing w:val="15"/>
      <w:sz w:val="24"/>
      <w:szCs w:val="24"/>
    </w:rPr>
  </w:style>
  <w:style w:type="table" w:customStyle="1" w:styleId="a">
    <w:basedOn w:val="Tabellanormale"/>
    <w:rsid w:val="007B4539"/>
    <w:tblPr>
      <w:tblStyleRowBandSize w:val="1"/>
      <w:tblStyleColBandSize w:val="1"/>
    </w:tblPr>
  </w:style>
  <w:style w:type="table" w:customStyle="1" w:styleId="a0">
    <w:basedOn w:val="Tabellanormale"/>
    <w:rsid w:val="007B4539"/>
    <w:tblPr>
      <w:tblStyleRowBandSize w:val="1"/>
      <w:tblStyleColBandSize w:val="1"/>
    </w:tblPr>
  </w:style>
  <w:style w:type="table" w:customStyle="1" w:styleId="a1">
    <w:basedOn w:val="Tabellanormale"/>
    <w:rsid w:val="007B4539"/>
    <w:tblPr>
      <w:tblStyleRowBandSize w:val="1"/>
      <w:tblStyleColBandSize w:val="1"/>
    </w:tblPr>
  </w:style>
  <w:style w:type="paragraph" w:styleId="Sommario2">
    <w:name w:val="toc 2"/>
    <w:basedOn w:val="Normale"/>
    <w:next w:val="Normale"/>
    <w:autoRedefine/>
    <w:uiPriority w:val="39"/>
    <w:unhideWhenUsed/>
    <w:rsid w:val="00710999"/>
    <w:pPr>
      <w:spacing w:after="100"/>
      <w:ind w:left="220"/>
    </w:pPr>
  </w:style>
  <w:style w:type="character" w:styleId="Collegamentoipertestuale">
    <w:name w:val="Hyperlink"/>
    <w:basedOn w:val="Carpredefinitoparagrafo"/>
    <w:uiPriority w:val="99"/>
    <w:unhideWhenUsed/>
    <w:rsid w:val="00710999"/>
    <w:rPr>
      <w:color w:val="0000FF" w:themeColor="hyperlink"/>
      <w:u w:val="single"/>
    </w:rPr>
  </w:style>
  <w:style w:type="paragraph" w:styleId="Testofumetto">
    <w:name w:val="Balloon Text"/>
    <w:basedOn w:val="Normale"/>
    <w:link w:val="TestofumettoCarattere"/>
    <w:uiPriority w:val="99"/>
    <w:semiHidden/>
    <w:unhideWhenUsed/>
    <w:rsid w:val="007109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0999"/>
    <w:rPr>
      <w:rFonts w:ascii="Tahoma" w:hAnsi="Tahoma" w:cs="Tahoma"/>
      <w:sz w:val="16"/>
      <w:szCs w:val="16"/>
    </w:rPr>
  </w:style>
  <w:style w:type="paragraph" w:styleId="Nessunaspaziatura">
    <w:name w:val="No Spacing"/>
    <w:uiPriority w:val="1"/>
    <w:qFormat/>
    <w:rsid w:val="0037216D"/>
    <w:pPr>
      <w:spacing w:after="0" w:line="240" w:lineRule="auto"/>
    </w:pPr>
  </w:style>
  <w:style w:type="paragraph" w:styleId="Titolosommario">
    <w:name w:val="TOC Heading"/>
    <w:basedOn w:val="Titolo1"/>
    <w:next w:val="Normale"/>
    <w:uiPriority w:val="39"/>
    <w:unhideWhenUsed/>
    <w:qFormat/>
    <w:rsid w:val="0037216D"/>
    <w:pPr>
      <w:outlineLvl w:val="9"/>
    </w:pPr>
  </w:style>
  <w:style w:type="character" w:styleId="Enfasiintensa">
    <w:name w:val="Intense Emphasis"/>
    <w:basedOn w:val="Carpredefinitoparagrafo"/>
    <w:uiPriority w:val="21"/>
    <w:qFormat/>
    <w:rsid w:val="0037216D"/>
    <w:rPr>
      <w:b/>
      <w:bCs/>
      <w:i/>
      <w:iCs/>
      <w:color w:val="4F81BD" w:themeColor="accent1"/>
    </w:rPr>
  </w:style>
  <w:style w:type="character" w:customStyle="1" w:styleId="Titolo7Carattere">
    <w:name w:val="Titolo 7 Carattere"/>
    <w:basedOn w:val="Carpredefinitoparagrafo"/>
    <w:link w:val="Titolo7"/>
    <w:uiPriority w:val="9"/>
    <w:rsid w:val="0037216D"/>
    <w:rPr>
      <w:rFonts w:asciiTheme="majorHAnsi" w:eastAsiaTheme="majorEastAsia" w:hAnsiTheme="majorHAnsi" w:cstheme="majorBidi"/>
      <w:i/>
      <w:iCs/>
      <w:color w:val="404040" w:themeColor="text1" w:themeTint="BF"/>
    </w:rPr>
  </w:style>
  <w:style w:type="character" w:customStyle="1" w:styleId="Titolo1Carattere">
    <w:name w:val="Titolo 1 Carattere"/>
    <w:basedOn w:val="Carpredefinitoparagrafo"/>
    <w:link w:val="Titolo1"/>
    <w:uiPriority w:val="9"/>
    <w:rsid w:val="0037216D"/>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37216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37216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37216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37216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37216D"/>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rsid w:val="0037216D"/>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rsid w:val="0037216D"/>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37216D"/>
    <w:pPr>
      <w:spacing w:line="240" w:lineRule="auto"/>
    </w:pPr>
    <w:rPr>
      <w:b/>
      <w:bCs/>
      <w:color w:val="4F81BD" w:themeColor="accent1"/>
      <w:sz w:val="18"/>
      <w:szCs w:val="18"/>
    </w:rPr>
  </w:style>
  <w:style w:type="character" w:customStyle="1" w:styleId="TitoloCarattere">
    <w:name w:val="Titolo Carattere"/>
    <w:basedOn w:val="Carpredefinitoparagrafo"/>
    <w:link w:val="Titolo"/>
    <w:uiPriority w:val="10"/>
    <w:rsid w:val="0037216D"/>
    <w:rPr>
      <w:rFonts w:asciiTheme="majorHAnsi" w:eastAsiaTheme="majorEastAsia" w:hAnsiTheme="majorHAnsi" w:cstheme="majorBidi"/>
      <w:color w:val="17365D" w:themeColor="text2" w:themeShade="BF"/>
      <w:spacing w:val="5"/>
      <w:kern w:val="28"/>
      <w:sz w:val="52"/>
      <w:szCs w:val="52"/>
    </w:rPr>
  </w:style>
  <w:style w:type="character" w:customStyle="1" w:styleId="SottotitoloCarattere">
    <w:name w:val="Sottotitolo Carattere"/>
    <w:basedOn w:val="Carpredefinitoparagrafo"/>
    <w:link w:val="Sottotitolo"/>
    <w:uiPriority w:val="11"/>
    <w:rsid w:val="0037216D"/>
    <w:rPr>
      <w:rFonts w:asciiTheme="majorHAnsi" w:eastAsiaTheme="majorEastAsia" w:hAnsiTheme="majorHAnsi" w:cstheme="majorBidi"/>
      <w:i/>
      <w:iCs/>
      <w:color w:val="4F81BD" w:themeColor="accent1"/>
      <w:spacing w:val="15"/>
      <w:sz w:val="24"/>
      <w:szCs w:val="24"/>
    </w:rPr>
  </w:style>
  <w:style w:type="character" w:styleId="Enfasigrassetto">
    <w:name w:val="Strong"/>
    <w:basedOn w:val="Carpredefinitoparagrafo"/>
    <w:uiPriority w:val="22"/>
    <w:qFormat/>
    <w:rsid w:val="0037216D"/>
    <w:rPr>
      <w:b/>
      <w:bCs/>
    </w:rPr>
  </w:style>
  <w:style w:type="character" w:styleId="Enfasicorsivo">
    <w:name w:val="Emphasis"/>
    <w:basedOn w:val="Carpredefinitoparagrafo"/>
    <w:uiPriority w:val="20"/>
    <w:qFormat/>
    <w:rsid w:val="0037216D"/>
    <w:rPr>
      <w:i/>
      <w:iCs/>
    </w:rPr>
  </w:style>
  <w:style w:type="paragraph" w:styleId="Paragrafoelenco">
    <w:name w:val="List Paragraph"/>
    <w:basedOn w:val="Normale"/>
    <w:uiPriority w:val="34"/>
    <w:qFormat/>
    <w:rsid w:val="0037216D"/>
    <w:pPr>
      <w:ind w:left="720"/>
      <w:contextualSpacing/>
    </w:pPr>
  </w:style>
  <w:style w:type="paragraph" w:styleId="Citazione">
    <w:name w:val="Quote"/>
    <w:basedOn w:val="Normale"/>
    <w:next w:val="Normale"/>
    <w:link w:val="CitazioneCarattere"/>
    <w:uiPriority w:val="29"/>
    <w:qFormat/>
    <w:rsid w:val="0037216D"/>
    <w:rPr>
      <w:i/>
      <w:iCs/>
      <w:color w:val="000000" w:themeColor="text1"/>
    </w:rPr>
  </w:style>
  <w:style w:type="character" w:customStyle="1" w:styleId="CitazioneCarattere">
    <w:name w:val="Citazione Carattere"/>
    <w:basedOn w:val="Carpredefinitoparagrafo"/>
    <w:link w:val="Citazione"/>
    <w:uiPriority w:val="29"/>
    <w:rsid w:val="0037216D"/>
    <w:rPr>
      <w:i/>
      <w:iCs/>
      <w:color w:val="000000" w:themeColor="text1"/>
    </w:rPr>
  </w:style>
  <w:style w:type="paragraph" w:styleId="Citazioneintensa">
    <w:name w:val="Intense Quote"/>
    <w:basedOn w:val="Normale"/>
    <w:next w:val="Normale"/>
    <w:link w:val="CitazioneintensaCarattere"/>
    <w:uiPriority w:val="30"/>
    <w:qFormat/>
    <w:rsid w:val="0037216D"/>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37216D"/>
    <w:rPr>
      <w:b/>
      <w:bCs/>
      <w:i/>
      <w:iCs/>
      <w:color w:val="4F81BD" w:themeColor="accent1"/>
    </w:rPr>
  </w:style>
  <w:style w:type="character" w:styleId="Enfasidelicata">
    <w:name w:val="Subtle Emphasis"/>
    <w:basedOn w:val="Carpredefinitoparagrafo"/>
    <w:uiPriority w:val="19"/>
    <w:qFormat/>
    <w:rsid w:val="0037216D"/>
    <w:rPr>
      <w:i/>
      <w:iCs/>
      <w:color w:val="808080" w:themeColor="text1" w:themeTint="7F"/>
    </w:rPr>
  </w:style>
  <w:style w:type="character" w:styleId="Riferimentodelicato">
    <w:name w:val="Subtle Reference"/>
    <w:basedOn w:val="Carpredefinitoparagrafo"/>
    <w:uiPriority w:val="31"/>
    <w:qFormat/>
    <w:rsid w:val="0037216D"/>
    <w:rPr>
      <w:smallCaps/>
      <w:color w:val="C0504D" w:themeColor="accent2"/>
      <w:u w:val="single"/>
    </w:rPr>
  </w:style>
  <w:style w:type="character" w:styleId="Riferimentointenso">
    <w:name w:val="Intense Reference"/>
    <w:basedOn w:val="Carpredefinitoparagrafo"/>
    <w:uiPriority w:val="32"/>
    <w:qFormat/>
    <w:rsid w:val="0037216D"/>
    <w:rPr>
      <w:b/>
      <w:bCs/>
      <w:smallCaps/>
      <w:color w:val="C0504D" w:themeColor="accent2"/>
      <w:spacing w:val="5"/>
      <w:u w:val="single"/>
    </w:rPr>
  </w:style>
  <w:style w:type="character" w:styleId="Titolodellibro">
    <w:name w:val="Book Title"/>
    <w:basedOn w:val="Carpredefinitoparagrafo"/>
    <w:uiPriority w:val="33"/>
    <w:qFormat/>
    <w:rsid w:val="0037216D"/>
    <w:rPr>
      <w:b/>
      <w:bCs/>
      <w:smallCaps/>
      <w:spacing w:val="5"/>
    </w:rPr>
  </w:style>
  <w:style w:type="paragraph" w:styleId="Sommario1">
    <w:name w:val="toc 1"/>
    <w:basedOn w:val="Normale"/>
    <w:next w:val="Normale"/>
    <w:autoRedefine/>
    <w:uiPriority w:val="39"/>
    <w:unhideWhenUsed/>
    <w:rsid w:val="007F3B23"/>
    <w:pPr>
      <w:spacing w:after="100"/>
    </w:pPr>
  </w:style>
  <w:style w:type="paragraph" w:styleId="Sommario3">
    <w:name w:val="toc 3"/>
    <w:basedOn w:val="Normale"/>
    <w:next w:val="Normale"/>
    <w:autoRedefine/>
    <w:uiPriority w:val="39"/>
    <w:unhideWhenUsed/>
    <w:rsid w:val="007F3B23"/>
    <w:pPr>
      <w:spacing w:after="100"/>
      <w:ind w:left="440"/>
    </w:pPr>
  </w:style>
  <w:style w:type="paragraph" w:styleId="Indicedellefigure">
    <w:name w:val="table of figures"/>
    <w:basedOn w:val="Normale"/>
    <w:next w:val="Normale"/>
    <w:uiPriority w:val="99"/>
    <w:unhideWhenUsed/>
    <w:rsid w:val="00D41062"/>
    <w:pPr>
      <w:spacing w:after="0"/>
    </w:pPr>
    <w:rPr>
      <w:lang w:val="en-GB" w:eastAsia="en-GB"/>
    </w:rPr>
  </w:style>
  <w:style w:type="character" w:styleId="Rimandocommento">
    <w:name w:val="annotation reference"/>
    <w:basedOn w:val="Carpredefinitoparagrafo"/>
    <w:uiPriority w:val="99"/>
    <w:semiHidden/>
    <w:unhideWhenUsed/>
    <w:rsid w:val="00C11B7A"/>
    <w:rPr>
      <w:sz w:val="16"/>
      <w:szCs w:val="16"/>
    </w:rPr>
  </w:style>
  <w:style w:type="paragraph" w:customStyle="1" w:styleId="Testocommento1">
    <w:name w:val="Testo commento1"/>
    <w:basedOn w:val="Normale"/>
    <w:next w:val="Testocommento"/>
    <w:link w:val="TestocommentoCarattere"/>
    <w:uiPriority w:val="99"/>
    <w:semiHidden/>
    <w:unhideWhenUsed/>
    <w:rsid w:val="00C11B7A"/>
    <w:pPr>
      <w:spacing w:after="0" w:line="240" w:lineRule="auto"/>
    </w:pPr>
    <w:rPr>
      <w:rFonts w:ascii="Times New Roman" w:hAnsi="Times New Roman" w:cs="Times New Roman"/>
      <w:sz w:val="20"/>
      <w:szCs w:val="20"/>
    </w:rPr>
  </w:style>
  <w:style w:type="character" w:customStyle="1" w:styleId="TestocommentoCarattere">
    <w:name w:val="Testo commento Carattere"/>
    <w:basedOn w:val="Carpredefinitoparagrafo"/>
    <w:link w:val="Testocommento1"/>
    <w:uiPriority w:val="99"/>
    <w:semiHidden/>
    <w:rsid w:val="00C11B7A"/>
    <w:rPr>
      <w:rFonts w:ascii="Times New Roman" w:hAnsi="Times New Roman" w:cs="Times New Roman"/>
      <w:sz w:val="20"/>
      <w:szCs w:val="20"/>
      <w:lang w:eastAsia="it-IT"/>
    </w:rPr>
  </w:style>
  <w:style w:type="paragraph" w:styleId="Testocommento">
    <w:name w:val="annotation text"/>
    <w:basedOn w:val="Normale"/>
    <w:link w:val="TestocommentoCarattere1"/>
    <w:uiPriority w:val="99"/>
    <w:semiHidden/>
    <w:unhideWhenUsed/>
    <w:rsid w:val="00C11B7A"/>
    <w:pPr>
      <w:spacing w:line="240" w:lineRule="auto"/>
    </w:pPr>
    <w:rPr>
      <w:sz w:val="20"/>
      <w:szCs w:val="20"/>
    </w:rPr>
  </w:style>
  <w:style w:type="character" w:customStyle="1" w:styleId="TestocommentoCarattere1">
    <w:name w:val="Testo commento Carattere1"/>
    <w:basedOn w:val="Carpredefinitoparagrafo"/>
    <w:link w:val="Testocommento"/>
    <w:uiPriority w:val="99"/>
    <w:semiHidden/>
    <w:rsid w:val="00C11B7A"/>
    <w:rPr>
      <w:sz w:val="20"/>
      <w:szCs w:val="20"/>
    </w:rPr>
  </w:style>
  <w:style w:type="paragraph" w:styleId="Intestazione">
    <w:name w:val="header"/>
    <w:basedOn w:val="Normale"/>
    <w:link w:val="IntestazioneCarattere"/>
    <w:uiPriority w:val="99"/>
    <w:unhideWhenUsed/>
    <w:rsid w:val="00C11B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1B7A"/>
  </w:style>
  <w:style w:type="paragraph" w:styleId="Pidipagina">
    <w:name w:val="footer"/>
    <w:basedOn w:val="Normale"/>
    <w:link w:val="PidipaginaCarattere"/>
    <w:uiPriority w:val="99"/>
    <w:unhideWhenUsed/>
    <w:rsid w:val="00C11B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1B7A"/>
  </w:style>
  <w:style w:type="table" w:styleId="Grigliatabella">
    <w:name w:val="Table Grid"/>
    <w:basedOn w:val="Tabellanormale"/>
    <w:uiPriority w:val="59"/>
    <w:rsid w:val="007D643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EC504C"/>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9989">
      <w:bodyDiv w:val="1"/>
      <w:marLeft w:val="0"/>
      <w:marRight w:val="0"/>
      <w:marTop w:val="0"/>
      <w:marBottom w:val="0"/>
      <w:divBdr>
        <w:top w:val="none" w:sz="0" w:space="0" w:color="auto"/>
        <w:left w:val="none" w:sz="0" w:space="0" w:color="auto"/>
        <w:bottom w:val="none" w:sz="0" w:space="0" w:color="auto"/>
        <w:right w:val="none" w:sz="0" w:space="0" w:color="auto"/>
      </w:divBdr>
    </w:div>
    <w:div w:id="622662059">
      <w:bodyDiv w:val="1"/>
      <w:marLeft w:val="0"/>
      <w:marRight w:val="0"/>
      <w:marTop w:val="0"/>
      <w:marBottom w:val="0"/>
      <w:divBdr>
        <w:top w:val="none" w:sz="0" w:space="0" w:color="auto"/>
        <w:left w:val="none" w:sz="0" w:space="0" w:color="auto"/>
        <w:bottom w:val="none" w:sz="0" w:space="0" w:color="auto"/>
        <w:right w:val="none" w:sz="0" w:space="0" w:color="auto"/>
      </w:divBdr>
    </w:div>
    <w:div w:id="823935315">
      <w:bodyDiv w:val="1"/>
      <w:marLeft w:val="0"/>
      <w:marRight w:val="0"/>
      <w:marTop w:val="0"/>
      <w:marBottom w:val="0"/>
      <w:divBdr>
        <w:top w:val="none" w:sz="0" w:space="0" w:color="auto"/>
        <w:left w:val="none" w:sz="0" w:space="0" w:color="auto"/>
        <w:bottom w:val="none" w:sz="0" w:space="0" w:color="auto"/>
        <w:right w:val="none" w:sz="0" w:space="0" w:color="auto"/>
      </w:divBdr>
    </w:div>
    <w:div w:id="1431124119">
      <w:bodyDiv w:val="1"/>
      <w:marLeft w:val="0"/>
      <w:marRight w:val="0"/>
      <w:marTop w:val="0"/>
      <w:marBottom w:val="0"/>
      <w:divBdr>
        <w:top w:val="none" w:sz="0" w:space="0" w:color="auto"/>
        <w:left w:val="none" w:sz="0" w:space="0" w:color="auto"/>
        <w:bottom w:val="none" w:sz="0" w:space="0" w:color="auto"/>
        <w:right w:val="none" w:sz="0" w:space="0" w:color="auto"/>
      </w:divBdr>
    </w:div>
    <w:div w:id="171022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opa.eu/epic/countries/italy/index_en.htm" TargetMode="External"/><Relationship Id="rId18" Type="http://schemas.openxmlformats.org/officeDocument/2006/relationships/hyperlink" Target="http://www.istat.it/it/archivio/18918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weworld.it/pubblicazioni/2014/Lost/index.html" TargetMode="External"/><Relationship Id="rId7" Type="http://schemas.openxmlformats.org/officeDocument/2006/relationships/footnotes" Target="footnotes.xml"/><Relationship Id="rId12" Type="http://schemas.openxmlformats.org/officeDocument/2006/relationships/hyperlink" Target="http://eur-lex.europa.eu/legal-content/EN/ALL/?uri=CELEX:52011SC0096" TargetMode="External"/><Relationship Id="rId17" Type="http://schemas.openxmlformats.org/officeDocument/2006/relationships/hyperlink" Target="http://dati.istat.i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ismu.org/2016/05/alunni-cni-rapporto-nazionale-2014-2015/" TargetMode="External"/><Relationship Id="rId20" Type="http://schemas.openxmlformats.org/officeDocument/2006/relationships/hyperlink" Target="https://www.weworld.it/pubblicazioni/2016/Survived/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stat.it/it/archivio/19402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ndire.it/eurydice/content/index.php?action=read_cnt&amp;id_cnt=15196" TargetMode="External"/><Relationship Id="rId23" Type="http://schemas.openxmlformats.org/officeDocument/2006/relationships/footer" Target="footer1.xml"/><Relationship Id="rId10" Type="http://schemas.openxmlformats.org/officeDocument/2006/relationships/hyperlink" Target="http://www.invalsi.it/invalsi/areastampa.php?page=index" TargetMode="External"/><Relationship Id="rId19" Type="http://schemas.openxmlformats.org/officeDocument/2006/relationships/hyperlink" Target="https://www.oecd.org/pisa/pisa-2015-results-in-focus.pdf" TargetMode="Externa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yperlink" Target="http://www.indire.it/.../eurydice/quaderno_eurydice_30_per_web.pdf"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1079328886638815E-2"/>
          <c:y val="9.187869785993151E-2"/>
          <c:w val="0.8884631953352885"/>
          <c:h val="0.55516801283807382"/>
        </c:manualLayout>
      </c:layout>
      <c:barChart>
        <c:barDir val="col"/>
        <c:grouping val="clustered"/>
        <c:varyColors val="0"/>
        <c:ser>
          <c:idx val="2"/>
          <c:order val="2"/>
          <c:tx>
            <c:strRef>
              <c:f>Tabelle1!$D$1</c:f>
              <c:strCache>
                <c:ptCount val="1"/>
                <c:pt idx="0">
                  <c:v>PISA 2015</c:v>
                </c:pt>
              </c:strCache>
            </c:strRef>
          </c:tx>
          <c:spPr>
            <a:solidFill>
              <a:srgbClr val="005681"/>
            </a:solidFill>
            <a:ln>
              <a:noFill/>
            </a:ln>
            <a:effectLst/>
          </c:spPr>
          <c:invertIfNegative val="0"/>
          <c:dPt>
            <c:idx val="1"/>
            <c:invertIfNegative val="0"/>
            <c:bubble3D val="0"/>
            <c:spPr>
              <a:solidFill>
                <a:srgbClr val="D04432"/>
              </a:solidFill>
              <a:ln>
                <a:noFill/>
              </a:ln>
              <a:effectLst/>
            </c:spPr>
          </c:dPt>
          <c:cat>
            <c:strRef>
              <c:f>Tabelle1!$A$2:$A$55</c:f>
              <c:strCache>
                <c:ptCount val="54"/>
                <c:pt idx="0">
                  <c:v>Montenegro</c:v>
                </c:pt>
                <c:pt idx="1">
                  <c:v>Italy</c:v>
                </c:pt>
                <c:pt idx="2">
                  <c:v>Uruguay</c:v>
                </c:pt>
                <c:pt idx="3">
                  <c:v>Slovak Republic</c:v>
                </c:pt>
                <c:pt idx="4">
                  <c:v>Brazil</c:v>
                </c:pt>
                <c:pt idx="5">
                  <c:v>Turkey</c:v>
                </c:pt>
                <c:pt idx="6">
                  <c:v>Bulgaria</c:v>
                </c:pt>
                <c:pt idx="7">
                  <c:v>Colombia</c:v>
                </c:pt>
                <c:pt idx="8">
                  <c:v>Qatar</c:v>
                </c:pt>
                <c:pt idx="9">
                  <c:v>Peru</c:v>
                </c:pt>
                <c:pt idx="10">
                  <c:v>Costa Rica</c:v>
                </c:pt>
                <c:pt idx="11">
                  <c:v>United States</c:v>
                </c:pt>
                <c:pt idx="12">
                  <c:v>Finland</c:v>
                </c:pt>
                <c:pt idx="13">
                  <c:v>Israel</c:v>
                </c:pt>
                <c:pt idx="14">
                  <c:v>Thailand</c:v>
                </c:pt>
                <c:pt idx="15">
                  <c:v>Tunisia</c:v>
                </c:pt>
                <c:pt idx="16">
                  <c:v>Australia</c:v>
                </c:pt>
                <c:pt idx="17">
                  <c:v>Mexico</c:v>
                </c:pt>
                <c:pt idx="18">
                  <c:v>United Kingdom</c:v>
                </c:pt>
                <c:pt idx="19">
                  <c:v>New Zealand</c:v>
                </c:pt>
                <c:pt idx="20">
                  <c:v>Latvia</c:v>
                </c:pt>
                <c:pt idx="21">
                  <c:v>Spain</c:v>
                </c:pt>
                <c:pt idx="22">
                  <c:v>Ireland</c:v>
                </c:pt>
                <c:pt idx="23">
                  <c:v>Russia</c:v>
                </c:pt>
                <c:pt idx="24">
                  <c:v>Estonia</c:v>
                </c:pt>
                <c:pt idx="25">
                  <c:v>Lithuania</c:v>
                </c:pt>
                <c:pt idx="26">
                  <c:v>United Arab Emirates</c:v>
                </c:pt>
                <c:pt idx="27">
                  <c:v>Portugal</c:v>
                </c:pt>
                <c:pt idx="28">
                  <c:v>Poland</c:v>
                </c:pt>
                <c:pt idx="29">
                  <c:v>OECD average</c:v>
                </c:pt>
                <c:pt idx="30">
                  <c:v>Greece</c:v>
                </c:pt>
                <c:pt idx="31">
                  <c:v>Canada</c:v>
                </c:pt>
                <c:pt idx="32">
                  <c:v>Denmark</c:v>
                </c:pt>
                <c:pt idx="33">
                  <c:v>Singapore</c:v>
                </c:pt>
                <c:pt idx="34">
                  <c:v>Norway</c:v>
                </c:pt>
                <c:pt idx="35">
                  <c:v>Slovenia</c:v>
                </c:pt>
                <c:pt idx="36">
                  <c:v>Croatia</c:v>
                </c:pt>
                <c:pt idx="37">
                  <c:v>Luxembourg</c:v>
                </c:pt>
                <c:pt idx="38">
                  <c:v>Austria</c:v>
                </c:pt>
                <c:pt idx="39">
                  <c:v>France</c:v>
                </c:pt>
                <c:pt idx="40">
                  <c:v>Switzerland</c:v>
                </c:pt>
                <c:pt idx="41">
                  <c:v>Chile</c:v>
                </c:pt>
                <c:pt idx="42">
                  <c:v>Sweden</c:v>
                </c:pt>
                <c:pt idx="43">
                  <c:v>Germany</c:v>
                </c:pt>
                <c:pt idx="44">
                  <c:v>Hungary</c:v>
                </c:pt>
                <c:pt idx="45">
                  <c:v>Czech Republic</c:v>
                </c:pt>
                <c:pt idx="46">
                  <c:v>Belgium</c:v>
                </c:pt>
                <c:pt idx="47">
                  <c:v>Macao (China)</c:v>
                </c:pt>
                <c:pt idx="48">
                  <c:v>Netherlands</c:v>
                </c:pt>
                <c:pt idx="49">
                  <c:v>Iceland</c:v>
                </c:pt>
                <c:pt idx="50">
                  <c:v>Hong Kong (China)</c:v>
                </c:pt>
                <c:pt idx="51">
                  <c:v>Chinese Taipei</c:v>
                </c:pt>
                <c:pt idx="52">
                  <c:v>Korea</c:v>
                </c:pt>
                <c:pt idx="53">
                  <c:v>Japan</c:v>
                </c:pt>
              </c:strCache>
            </c:strRef>
          </c:cat>
          <c:val>
            <c:numRef>
              <c:f>Tabelle1!$D$2:$D$55</c:f>
              <c:numCache>
                <c:formatCode>0.0</c:formatCode>
                <c:ptCount val="54"/>
                <c:pt idx="0">
                  <c:v>59.599333512355159</c:v>
                </c:pt>
                <c:pt idx="1">
                  <c:v>55.209574714183667</c:v>
                </c:pt>
                <c:pt idx="2">
                  <c:v>51.532141833602019</c:v>
                </c:pt>
                <c:pt idx="3">
                  <c:v>51.130858444782248</c:v>
                </c:pt>
                <c:pt idx="4">
                  <c:v>47.976289911556492</c:v>
                </c:pt>
                <c:pt idx="5">
                  <c:v>46.953772133906789</c:v>
                </c:pt>
                <c:pt idx="6">
                  <c:v>44.691907417679147</c:v>
                </c:pt>
                <c:pt idx="7">
                  <c:v>43.847516876608204</c:v>
                </c:pt>
                <c:pt idx="8">
                  <c:v>40.26147911969138</c:v>
                </c:pt>
                <c:pt idx="9">
                  <c:v>39.954466564866841</c:v>
                </c:pt>
                <c:pt idx="10">
                  <c:v>39.066754050579412</c:v>
                </c:pt>
                <c:pt idx="11">
                  <c:v>37.156577199500987</c:v>
                </c:pt>
                <c:pt idx="12">
                  <c:v>36.613450387772453</c:v>
                </c:pt>
                <c:pt idx="14">
                  <c:v>31.374349198789247</c:v>
                </c:pt>
                <c:pt idx="15">
                  <c:v>30.955596080343255</c:v>
                </c:pt>
                <c:pt idx="16">
                  <c:v>28.969478386387919</c:v>
                </c:pt>
                <c:pt idx="17">
                  <c:v>25.771046665467097</c:v>
                </c:pt>
                <c:pt idx="18">
                  <c:v>25.45862915642401</c:v>
                </c:pt>
                <c:pt idx="19">
                  <c:v>24.970128371402183</c:v>
                </c:pt>
                <c:pt idx="21">
                  <c:v>24.652858086271877</c:v>
                </c:pt>
                <c:pt idx="22">
                  <c:v>24.377150306350785</c:v>
                </c:pt>
                <c:pt idx="24">
                  <c:v>22.970302304240874</c:v>
                </c:pt>
                <c:pt idx="25">
                  <c:v>22.278855061641849</c:v>
                </c:pt>
                <c:pt idx="26">
                  <c:v>20.958515233176016</c:v>
                </c:pt>
                <c:pt idx="28">
                  <c:v>20.275356907183991</c:v>
                </c:pt>
                <c:pt idx="29">
                  <c:v>19.716994116592318</c:v>
                </c:pt>
                <c:pt idx="31">
                  <c:v>17.820139337022738</c:v>
                </c:pt>
                <c:pt idx="32">
                  <c:v>16.992026536566101</c:v>
                </c:pt>
                <c:pt idx="34">
                  <c:v>13.472991451246457</c:v>
                </c:pt>
                <c:pt idx="35">
                  <c:v>12.402196134651845</c:v>
                </c:pt>
                <c:pt idx="37">
                  <c:v>11.448149311328933</c:v>
                </c:pt>
                <c:pt idx="38">
                  <c:v>10.887075860519616</c:v>
                </c:pt>
                <c:pt idx="40">
                  <c:v>9.6406451559133188</c:v>
                </c:pt>
                <c:pt idx="41">
                  <c:v>9.3024070748859202</c:v>
                </c:pt>
                <c:pt idx="42">
                  <c:v>9.0069418291116534</c:v>
                </c:pt>
                <c:pt idx="43">
                  <c:v>8.8801195787398797</c:v>
                </c:pt>
                <c:pt idx="44">
                  <c:v>8.4126654640685246</c:v>
                </c:pt>
                <c:pt idx="45">
                  <c:v>8.0754708007481355</c:v>
                </c:pt>
                <c:pt idx="46">
                  <c:v>7.0768610530567884</c:v>
                </c:pt>
                <c:pt idx="47">
                  <c:v>6.3633264862392451</c:v>
                </c:pt>
                <c:pt idx="48">
                  <c:v>5.3296331089369318</c:v>
                </c:pt>
                <c:pt idx="49">
                  <c:v>4.484601533770018</c:v>
                </c:pt>
                <c:pt idx="51">
                  <c:v>3.1789855801187343</c:v>
                </c:pt>
              </c:numCache>
            </c:numRef>
          </c:val>
          <c:extLst xmlns:c16r2="http://schemas.microsoft.com/office/drawing/2015/06/chart">
            <c:ext xmlns:c16="http://schemas.microsoft.com/office/drawing/2014/chart" uri="{C3380CC4-5D6E-409C-BE32-E72D297353CC}">
              <c16:uniqueId val="{00000002-6977-4DB7-A845-E9D19141EA92}"/>
            </c:ext>
          </c:extLst>
        </c:ser>
        <c:ser>
          <c:idx val="3"/>
          <c:order val="3"/>
          <c:tx>
            <c:strRef>
              <c:f>Tabelle1!$E$1</c:f>
              <c:strCache>
                <c:ptCount val="1"/>
                <c:pt idx="0">
                  <c:v>PISA 2015_NS</c:v>
                </c:pt>
              </c:strCache>
            </c:strRef>
          </c:tx>
          <c:spPr>
            <a:solidFill>
              <a:schemeClr val="accent1">
                <a:lumMod val="40000"/>
                <a:lumOff val="60000"/>
              </a:schemeClr>
            </a:solidFill>
            <a:ln w="25400">
              <a:noFill/>
            </a:ln>
            <a:effectLst/>
          </c:spPr>
          <c:invertIfNegative val="0"/>
          <c:cat>
            <c:strRef>
              <c:f>Tabelle1!$A$2:$A$55</c:f>
              <c:strCache>
                <c:ptCount val="54"/>
                <c:pt idx="0">
                  <c:v>Montenegro</c:v>
                </c:pt>
                <c:pt idx="1">
                  <c:v>Italy</c:v>
                </c:pt>
                <c:pt idx="2">
                  <c:v>Uruguay</c:v>
                </c:pt>
                <c:pt idx="3">
                  <c:v>Slovak Republic</c:v>
                </c:pt>
                <c:pt idx="4">
                  <c:v>Brazil</c:v>
                </c:pt>
                <c:pt idx="5">
                  <c:v>Turkey</c:v>
                </c:pt>
                <c:pt idx="6">
                  <c:v>Bulgaria</c:v>
                </c:pt>
                <c:pt idx="7">
                  <c:v>Colombia</c:v>
                </c:pt>
                <c:pt idx="8">
                  <c:v>Qatar</c:v>
                </c:pt>
                <c:pt idx="9">
                  <c:v>Peru</c:v>
                </c:pt>
                <c:pt idx="10">
                  <c:v>Costa Rica</c:v>
                </c:pt>
                <c:pt idx="11">
                  <c:v>United States</c:v>
                </c:pt>
                <c:pt idx="12">
                  <c:v>Finland</c:v>
                </c:pt>
                <c:pt idx="13">
                  <c:v>Israel</c:v>
                </c:pt>
                <c:pt idx="14">
                  <c:v>Thailand</c:v>
                </c:pt>
                <c:pt idx="15">
                  <c:v>Tunisia</c:v>
                </c:pt>
                <c:pt idx="16">
                  <c:v>Australia</c:v>
                </c:pt>
                <c:pt idx="17">
                  <c:v>Mexico</c:v>
                </c:pt>
                <c:pt idx="18">
                  <c:v>United Kingdom</c:v>
                </c:pt>
                <c:pt idx="19">
                  <c:v>New Zealand</c:v>
                </c:pt>
                <c:pt idx="20">
                  <c:v>Latvia</c:v>
                </c:pt>
                <c:pt idx="21">
                  <c:v>Spain</c:v>
                </c:pt>
                <c:pt idx="22">
                  <c:v>Ireland</c:v>
                </c:pt>
                <c:pt idx="23">
                  <c:v>Russia</c:v>
                </c:pt>
                <c:pt idx="24">
                  <c:v>Estonia</c:v>
                </c:pt>
                <c:pt idx="25">
                  <c:v>Lithuania</c:v>
                </c:pt>
                <c:pt idx="26">
                  <c:v>United Arab Emirates</c:v>
                </c:pt>
                <c:pt idx="27">
                  <c:v>Portugal</c:v>
                </c:pt>
                <c:pt idx="28">
                  <c:v>Poland</c:v>
                </c:pt>
                <c:pt idx="29">
                  <c:v>OECD average</c:v>
                </c:pt>
                <c:pt idx="30">
                  <c:v>Greece</c:v>
                </c:pt>
                <c:pt idx="31">
                  <c:v>Canada</c:v>
                </c:pt>
                <c:pt idx="32">
                  <c:v>Denmark</c:v>
                </c:pt>
                <c:pt idx="33">
                  <c:v>Singapore</c:v>
                </c:pt>
                <c:pt idx="34">
                  <c:v>Norway</c:v>
                </c:pt>
                <c:pt idx="35">
                  <c:v>Slovenia</c:v>
                </c:pt>
                <c:pt idx="36">
                  <c:v>Croatia</c:v>
                </c:pt>
                <c:pt idx="37">
                  <c:v>Luxembourg</c:v>
                </c:pt>
                <c:pt idx="38">
                  <c:v>Austria</c:v>
                </c:pt>
                <c:pt idx="39">
                  <c:v>France</c:v>
                </c:pt>
                <c:pt idx="40">
                  <c:v>Switzerland</c:v>
                </c:pt>
                <c:pt idx="41">
                  <c:v>Chile</c:v>
                </c:pt>
                <c:pt idx="42">
                  <c:v>Sweden</c:v>
                </c:pt>
                <c:pt idx="43">
                  <c:v>Germany</c:v>
                </c:pt>
                <c:pt idx="44">
                  <c:v>Hungary</c:v>
                </c:pt>
                <c:pt idx="45">
                  <c:v>Czech Republic</c:v>
                </c:pt>
                <c:pt idx="46">
                  <c:v>Belgium</c:v>
                </c:pt>
                <c:pt idx="47">
                  <c:v>Macao (China)</c:v>
                </c:pt>
                <c:pt idx="48">
                  <c:v>Netherlands</c:v>
                </c:pt>
                <c:pt idx="49">
                  <c:v>Iceland</c:v>
                </c:pt>
                <c:pt idx="50">
                  <c:v>Hong Kong (China)</c:v>
                </c:pt>
                <c:pt idx="51">
                  <c:v>Chinese Taipei</c:v>
                </c:pt>
                <c:pt idx="52">
                  <c:v>Korea</c:v>
                </c:pt>
                <c:pt idx="53">
                  <c:v>Japan</c:v>
                </c:pt>
              </c:strCache>
            </c:strRef>
          </c:cat>
          <c:val>
            <c:numRef>
              <c:f>Tabelle1!$E$2:$E$55</c:f>
              <c:numCache>
                <c:formatCode>General</c:formatCode>
                <c:ptCount val="54"/>
                <c:pt idx="13" formatCode="0.0">
                  <c:v>32.69502370057215</c:v>
                </c:pt>
                <c:pt idx="20" formatCode="0.0">
                  <c:v>24.719975571886437</c:v>
                </c:pt>
                <c:pt idx="23" formatCode="0.0">
                  <c:v>23.227996775251754</c:v>
                </c:pt>
                <c:pt idx="27" formatCode="0.0">
                  <c:v>20.813023271269614</c:v>
                </c:pt>
                <c:pt idx="30" formatCode="0.0">
                  <c:v>19.646118114719798</c:v>
                </c:pt>
                <c:pt idx="33" formatCode="0.0">
                  <c:v>14.310335854062942</c:v>
                </c:pt>
                <c:pt idx="36" formatCode="0.0">
                  <c:v>12.321077348019955</c:v>
                </c:pt>
                <c:pt idx="39" formatCode="0.0">
                  <c:v>10.849134127838965</c:v>
                </c:pt>
                <c:pt idx="50" formatCode="0.0">
                  <c:v>3.5440720686747085</c:v>
                </c:pt>
                <c:pt idx="52" formatCode="0.0">
                  <c:v>1.8645505834653591</c:v>
                </c:pt>
                <c:pt idx="53" formatCode="0.0">
                  <c:v>1.7658614165366515</c:v>
                </c:pt>
              </c:numCache>
            </c:numRef>
          </c:val>
          <c:extLst xmlns:c16r2="http://schemas.microsoft.com/office/drawing/2015/06/chart">
            <c:ext xmlns:c16="http://schemas.microsoft.com/office/drawing/2014/chart" uri="{C3380CC4-5D6E-409C-BE32-E72D297353CC}">
              <c16:uniqueId val="{00000000-826F-48CB-A44F-937339C12FB6}"/>
            </c:ext>
          </c:extLst>
        </c:ser>
        <c:dLbls>
          <c:showLegendKey val="0"/>
          <c:showVal val="0"/>
          <c:showCatName val="0"/>
          <c:showSerName val="0"/>
          <c:showPercent val="0"/>
          <c:showBubbleSize val="0"/>
        </c:dLbls>
        <c:gapWidth val="60"/>
        <c:overlap val="100"/>
        <c:axId val="154103296"/>
        <c:axId val="145529600"/>
      </c:barChart>
      <c:lineChart>
        <c:grouping val="standard"/>
        <c:varyColors val="0"/>
        <c:ser>
          <c:idx val="0"/>
          <c:order val="0"/>
          <c:tx>
            <c:strRef>
              <c:f>Tabelle1!$B$1</c:f>
              <c:strCache>
                <c:ptCount val="1"/>
                <c:pt idx="0">
                  <c:v>PISA 2012</c:v>
                </c:pt>
              </c:strCache>
            </c:strRef>
          </c:tx>
          <c:spPr>
            <a:ln w="28575" cap="rnd">
              <a:noFill/>
              <a:round/>
            </a:ln>
            <a:effectLst/>
          </c:spPr>
          <c:marker>
            <c:symbol val="diamond"/>
            <c:size val="7"/>
            <c:spPr>
              <a:solidFill>
                <a:srgbClr val="E4B921"/>
              </a:solidFill>
              <a:ln w="12700">
                <a:solidFill>
                  <a:schemeClr val="tx1"/>
                </a:solidFill>
              </a:ln>
              <a:effectLst/>
            </c:spPr>
          </c:marker>
          <c:cat>
            <c:strRef>
              <c:f>Tabelle1!$A$2:$A$55</c:f>
              <c:strCache>
                <c:ptCount val="54"/>
                <c:pt idx="0">
                  <c:v>Montenegro</c:v>
                </c:pt>
                <c:pt idx="1">
                  <c:v>Italy</c:v>
                </c:pt>
                <c:pt idx="2">
                  <c:v>Uruguay</c:v>
                </c:pt>
                <c:pt idx="3">
                  <c:v>Slovak Republic</c:v>
                </c:pt>
                <c:pt idx="4">
                  <c:v>Brazil</c:v>
                </c:pt>
                <c:pt idx="5">
                  <c:v>Turkey</c:v>
                </c:pt>
                <c:pt idx="6">
                  <c:v>Bulgaria</c:v>
                </c:pt>
                <c:pt idx="7">
                  <c:v>Colombia</c:v>
                </c:pt>
                <c:pt idx="8">
                  <c:v>Qatar</c:v>
                </c:pt>
                <c:pt idx="9">
                  <c:v>Peru</c:v>
                </c:pt>
                <c:pt idx="10">
                  <c:v>Costa Rica</c:v>
                </c:pt>
                <c:pt idx="11">
                  <c:v>United States</c:v>
                </c:pt>
                <c:pt idx="12">
                  <c:v>Finland</c:v>
                </c:pt>
                <c:pt idx="13">
                  <c:v>Israel</c:v>
                </c:pt>
                <c:pt idx="14">
                  <c:v>Thailand</c:v>
                </c:pt>
                <c:pt idx="15">
                  <c:v>Tunisia</c:v>
                </c:pt>
                <c:pt idx="16">
                  <c:v>Australia</c:v>
                </c:pt>
                <c:pt idx="17">
                  <c:v>Mexico</c:v>
                </c:pt>
                <c:pt idx="18">
                  <c:v>United Kingdom</c:v>
                </c:pt>
                <c:pt idx="19">
                  <c:v>New Zealand</c:v>
                </c:pt>
                <c:pt idx="20">
                  <c:v>Latvia</c:v>
                </c:pt>
                <c:pt idx="21">
                  <c:v>Spain</c:v>
                </c:pt>
                <c:pt idx="22">
                  <c:v>Ireland</c:v>
                </c:pt>
                <c:pt idx="23">
                  <c:v>Russia</c:v>
                </c:pt>
                <c:pt idx="24">
                  <c:v>Estonia</c:v>
                </c:pt>
                <c:pt idx="25">
                  <c:v>Lithuania</c:v>
                </c:pt>
                <c:pt idx="26">
                  <c:v>United Arab Emirates</c:v>
                </c:pt>
                <c:pt idx="27">
                  <c:v>Portugal</c:v>
                </c:pt>
                <c:pt idx="28">
                  <c:v>Poland</c:v>
                </c:pt>
                <c:pt idx="29">
                  <c:v>OECD average</c:v>
                </c:pt>
                <c:pt idx="30">
                  <c:v>Greece</c:v>
                </c:pt>
                <c:pt idx="31">
                  <c:v>Canada</c:v>
                </c:pt>
                <c:pt idx="32">
                  <c:v>Denmark</c:v>
                </c:pt>
                <c:pt idx="33">
                  <c:v>Singapore</c:v>
                </c:pt>
                <c:pt idx="34">
                  <c:v>Norway</c:v>
                </c:pt>
                <c:pt idx="35">
                  <c:v>Slovenia</c:v>
                </c:pt>
                <c:pt idx="36">
                  <c:v>Croatia</c:v>
                </c:pt>
                <c:pt idx="37">
                  <c:v>Luxembourg</c:v>
                </c:pt>
                <c:pt idx="38">
                  <c:v>Austria</c:v>
                </c:pt>
                <c:pt idx="39">
                  <c:v>France</c:v>
                </c:pt>
                <c:pt idx="40">
                  <c:v>Switzerland</c:v>
                </c:pt>
                <c:pt idx="41">
                  <c:v>Chile</c:v>
                </c:pt>
                <c:pt idx="42">
                  <c:v>Sweden</c:v>
                </c:pt>
                <c:pt idx="43">
                  <c:v>Germany</c:v>
                </c:pt>
                <c:pt idx="44">
                  <c:v>Hungary</c:v>
                </c:pt>
                <c:pt idx="45">
                  <c:v>Czech Republic</c:v>
                </c:pt>
                <c:pt idx="46">
                  <c:v>Belgium</c:v>
                </c:pt>
                <c:pt idx="47">
                  <c:v>Macao (China)</c:v>
                </c:pt>
                <c:pt idx="48">
                  <c:v>Netherlands</c:v>
                </c:pt>
                <c:pt idx="49">
                  <c:v>Iceland</c:v>
                </c:pt>
                <c:pt idx="50">
                  <c:v>Hong Kong (China)</c:v>
                </c:pt>
                <c:pt idx="51">
                  <c:v>Chinese Taipei</c:v>
                </c:pt>
                <c:pt idx="52">
                  <c:v>Korea</c:v>
                </c:pt>
                <c:pt idx="53">
                  <c:v>Japan</c:v>
                </c:pt>
              </c:strCache>
            </c:strRef>
          </c:cat>
          <c:val>
            <c:numRef>
              <c:f>Tabelle1!$B$2:$B$55</c:f>
              <c:numCache>
                <c:formatCode>0.0</c:formatCode>
                <c:ptCount val="54"/>
                <c:pt idx="0">
                  <c:v>24.660779041980817</c:v>
                </c:pt>
                <c:pt idx="1">
                  <c:v>48.151601668622668</c:v>
                </c:pt>
                <c:pt idx="2">
                  <c:v>23.55495201599166</c:v>
                </c:pt>
                <c:pt idx="3">
                  <c:v>9.4247035040360316</c:v>
                </c:pt>
                <c:pt idx="4">
                  <c:v>20.34039011332105</c:v>
                </c:pt>
                <c:pt idx="5">
                  <c:v>54.239079550367649</c:v>
                </c:pt>
                <c:pt idx="6">
                  <c:v>25.153789266468763</c:v>
                </c:pt>
                <c:pt idx="7">
                  <c:v>4.4457581653002904</c:v>
                </c:pt>
                <c:pt idx="8">
                  <c:v>16.353490073342911</c:v>
                </c:pt>
                <c:pt idx="9">
                  <c:v>14.217224403606181</c:v>
                </c:pt>
                <c:pt idx="10">
                  <c:v>31.458727179433779</c:v>
                </c:pt>
                <c:pt idx="11">
                  <c:v>21.074025607738079</c:v>
                </c:pt>
                <c:pt idx="12">
                  <c:v>10.418231110794636</c:v>
                </c:pt>
                <c:pt idx="14">
                  <c:v>18.159252558648348</c:v>
                </c:pt>
                <c:pt idx="15">
                  <c:v>20.687129599040162</c:v>
                </c:pt>
                <c:pt idx="16">
                  <c:v>31.80533428871108</c:v>
                </c:pt>
                <c:pt idx="17">
                  <c:v>20.906339237749378</c:v>
                </c:pt>
                <c:pt idx="18">
                  <c:v>17.886677283597095</c:v>
                </c:pt>
                <c:pt idx="19">
                  <c:v>17.062297355832158</c:v>
                </c:pt>
                <c:pt idx="21">
                  <c:v>28.022129217200742</c:v>
                </c:pt>
                <c:pt idx="22">
                  <c:v>4.0388338070457621</c:v>
                </c:pt>
                <c:pt idx="24">
                  <c:v>15.257336150164974</c:v>
                </c:pt>
                <c:pt idx="25">
                  <c:v>19.022914167785444</c:v>
                </c:pt>
                <c:pt idx="26">
                  <c:v>39.15309357340432</c:v>
                </c:pt>
                <c:pt idx="28">
                  <c:v>15.864639803830727</c:v>
                </c:pt>
                <c:pt idx="29">
                  <c:v>14.776137741786599</c:v>
                </c:pt>
                <c:pt idx="31">
                  <c:v>22.0988269057476</c:v>
                </c:pt>
                <c:pt idx="32">
                  <c:v>9.6318873947890893</c:v>
                </c:pt>
                <c:pt idx="34">
                  <c:v>7.0924496688732006</c:v>
                </c:pt>
                <c:pt idx="35">
                  <c:v>14.151159535540188</c:v>
                </c:pt>
                <c:pt idx="37">
                  <c:v>7.0456683073229556</c:v>
                </c:pt>
                <c:pt idx="38">
                  <c:v>8.0339143794028871</c:v>
                </c:pt>
                <c:pt idx="40">
                  <c:v>4.9538172815870922</c:v>
                </c:pt>
                <c:pt idx="41">
                  <c:v>7.7279346876115653</c:v>
                </c:pt>
                <c:pt idx="42">
                  <c:v>7.1720472585175372</c:v>
                </c:pt>
                <c:pt idx="43">
                  <c:v>5.1377896145725117</c:v>
                </c:pt>
                <c:pt idx="44">
                  <c:v>6.7625151387431828</c:v>
                </c:pt>
                <c:pt idx="45">
                  <c:v>5.8533022933464451</c:v>
                </c:pt>
                <c:pt idx="46">
                  <c:v>5.5576182449297704</c:v>
                </c:pt>
                <c:pt idx="47">
                  <c:v>4.8742784543556894</c:v>
                </c:pt>
                <c:pt idx="48">
                  <c:v>2.6587718133794027</c:v>
                </c:pt>
                <c:pt idx="49">
                  <c:v>2.080179212834409</c:v>
                </c:pt>
                <c:pt idx="51">
                  <c:v>4.3359299956827471</c:v>
                </c:pt>
              </c:numCache>
            </c:numRef>
          </c:val>
          <c:smooth val="0"/>
          <c:extLst xmlns:c16r2="http://schemas.microsoft.com/office/drawing/2015/06/chart">
            <c:ext xmlns:c16="http://schemas.microsoft.com/office/drawing/2014/chart" uri="{C3380CC4-5D6E-409C-BE32-E72D297353CC}">
              <c16:uniqueId val="{00000000-6977-4DB7-A845-E9D19141EA92}"/>
            </c:ext>
          </c:extLst>
        </c:ser>
        <c:ser>
          <c:idx val="1"/>
          <c:order val="1"/>
          <c:tx>
            <c:strRef>
              <c:f>Tabelle1!$C$1</c:f>
              <c:strCache>
                <c:ptCount val="1"/>
                <c:pt idx="0">
                  <c:v>PISA 2012_NS</c:v>
                </c:pt>
              </c:strCache>
            </c:strRef>
          </c:tx>
          <c:spPr>
            <a:ln w="12700" cap="rnd">
              <a:solidFill>
                <a:schemeClr val="tx1"/>
              </a:solidFill>
              <a:round/>
            </a:ln>
            <a:effectLst/>
          </c:spPr>
          <c:marker>
            <c:symbol val="diamond"/>
            <c:size val="7"/>
            <c:spPr>
              <a:solidFill>
                <a:schemeClr val="bg1">
                  <a:lumMod val="85000"/>
                </a:schemeClr>
              </a:solidFill>
              <a:ln w="12700">
                <a:solidFill>
                  <a:schemeClr val="tx1"/>
                </a:solidFill>
              </a:ln>
              <a:effectLst/>
            </c:spPr>
          </c:marker>
          <c:cat>
            <c:strRef>
              <c:f>Tabelle1!$A$2:$A$55</c:f>
              <c:strCache>
                <c:ptCount val="54"/>
                <c:pt idx="0">
                  <c:v>Montenegro</c:v>
                </c:pt>
                <c:pt idx="1">
                  <c:v>Italy</c:v>
                </c:pt>
                <c:pt idx="2">
                  <c:v>Uruguay</c:v>
                </c:pt>
                <c:pt idx="3">
                  <c:v>Slovak Republic</c:v>
                </c:pt>
                <c:pt idx="4">
                  <c:v>Brazil</c:v>
                </c:pt>
                <c:pt idx="5">
                  <c:v>Turkey</c:v>
                </c:pt>
                <c:pt idx="6">
                  <c:v>Bulgaria</c:v>
                </c:pt>
                <c:pt idx="7">
                  <c:v>Colombia</c:v>
                </c:pt>
                <c:pt idx="8">
                  <c:v>Qatar</c:v>
                </c:pt>
                <c:pt idx="9">
                  <c:v>Peru</c:v>
                </c:pt>
                <c:pt idx="10">
                  <c:v>Costa Rica</c:v>
                </c:pt>
                <c:pt idx="11">
                  <c:v>United States</c:v>
                </c:pt>
                <c:pt idx="12">
                  <c:v>Finland</c:v>
                </c:pt>
                <c:pt idx="13">
                  <c:v>Israel</c:v>
                </c:pt>
                <c:pt idx="14">
                  <c:v>Thailand</c:v>
                </c:pt>
                <c:pt idx="15">
                  <c:v>Tunisia</c:v>
                </c:pt>
                <c:pt idx="16">
                  <c:v>Australia</c:v>
                </c:pt>
                <c:pt idx="17">
                  <c:v>Mexico</c:v>
                </c:pt>
                <c:pt idx="18">
                  <c:v>United Kingdom</c:v>
                </c:pt>
                <c:pt idx="19">
                  <c:v>New Zealand</c:v>
                </c:pt>
                <c:pt idx="20">
                  <c:v>Latvia</c:v>
                </c:pt>
                <c:pt idx="21">
                  <c:v>Spain</c:v>
                </c:pt>
                <c:pt idx="22">
                  <c:v>Ireland</c:v>
                </c:pt>
                <c:pt idx="23">
                  <c:v>Russia</c:v>
                </c:pt>
                <c:pt idx="24">
                  <c:v>Estonia</c:v>
                </c:pt>
                <c:pt idx="25">
                  <c:v>Lithuania</c:v>
                </c:pt>
                <c:pt idx="26">
                  <c:v>United Arab Emirates</c:v>
                </c:pt>
                <c:pt idx="27">
                  <c:v>Portugal</c:v>
                </c:pt>
                <c:pt idx="28">
                  <c:v>Poland</c:v>
                </c:pt>
                <c:pt idx="29">
                  <c:v>OECD average</c:v>
                </c:pt>
                <c:pt idx="30">
                  <c:v>Greece</c:v>
                </c:pt>
                <c:pt idx="31">
                  <c:v>Canada</c:v>
                </c:pt>
                <c:pt idx="32">
                  <c:v>Denmark</c:v>
                </c:pt>
                <c:pt idx="33">
                  <c:v>Singapore</c:v>
                </c:pt>
                <c:pt idx="34">
                  <c:v>Norway</c:v>
                </c:pt>
                <c:pt idx="35">
                  <c:v>Slovenia</c:v>
                </c:pt>
                <c:pt idx="36">
                  <c:v>Croatia</c:v>
                </c:pt>
                <c:pt idx="37">
                  <c:v>Luxembourg</c:v>
                </c:pt>
                <c:pt idx="38">
                  <c:v>Austria</c:v>
                </c:pt>
                <c:pt idx="39">
                  <c:v>France</c:v>
                </c:pt>
                <c:pt idx="40">
                  <c:v>Switzerland</c:v>
                </c:pt>
                <c:pt idx="41">
                  <c:v>Chile</c:v>
                </c:pt>
                <c:pt idx="42">
                  <c:v>Sweden</c:v>
                </c:pt>
                <c:pt idx="43">
                  <c:v>Germany</c:v>
                </c:pt>
                <c:pt idx="44">
                  <c:v>Hungary</c:v>
                </c:pt>
                <c:pt idx="45">
                  <c:v>Czech Republic</c:v>
                </c:pt>
                <c:pt idx="46">
                  <c:v>Belgium</c:v>
                </c:pt>
                <c:pt idx="47">
                  <c:v>Macao (China)</c:v>
                </c:pt>
                <c:pt idx="48">
                  <c:v>Netherlands</c:v>
                </c:pt>
                <c:pt idx="49">
                  <c:v>Iceland</c:v>
                </c:pt>
                <c:pt idx="50">
                  <c:v>Hong Kong (China)</c:v>
                </c:pt>
                <c:pt idx="51">
                  <c:v>Chinese Taipei</c:v>
                </c:pt>
                <c:pt idx="52">
                  <c:v>Korea</c:v>
                </c:pt>
                <c:pt idx="53">
                  <c:v>Japan</c:v>
                </c:pt>
              </c:strCache>
            </c:strRef>
          </c:cat>
          <c:val>
            <c:numRef>
              <c:f>Tabelle1!$C$2:$C$55</c:f>
              <c:numCache>
                <c:formatCode>General</c:formatCode>
                <c:ptCount val="54"/>
                <c:pt idx="13" formatCode="0.0">
                  <c:v>30.532405110859671</c:v>
                </c:pt>
                <c:pt idx="20" formatCode="0.0">
                  <c:v>22.696602163024266</c:v>
                </c:pt>
                <c:pt idx="23" formatCode="0.0">
                  <c:v>21.336574629413391</c:v>
                </c:pt>
                <c:pt idx="27" formatCode="0.0">
                  <c:v>19.332594212952301</c:v>
                </c:pt>
                <c:pt idx="30" formatCode="0.0">
                  <c:v>21.695451119546817</c:v>
                </c:pt>
                <c:pt idx="33" formatCode="0.0">
                  <c:v>14.531166582192895</c:v>
                </c:pt>
                <c:pt idx="36" formatCode="0.0">
                  <c:v>12.683894015132751</c:v>
                </c:pt>
                <c:pt idx="39" formatCode="0.0">
                  <c:v>9.4604591119556716</c:v>
                </c:pt>
                <c:pt idx="50" formatCode="0.0">
                  <c:v>3.9724138809505121</c:v>
                </c:pt>
                <c:pt idx="52" formatCode="0.0">
                  <c:v>1.7938379294167532</c:v>
                </c:pt>
                <c:pt idx="53" formatCode="0.0">
                  <c:v>1.544360991886478</c:v>
                </c:pt>
              </c:numCache>
            </c:numRef>
          </c:val>
          <c:smooth val="0"/>
          <c:extLst xmlns:c16r2="http://schemas.microsoft.com/office/drawing/2015/06/chart">
            <c:ext xmlns:c16="http://schemas.microsoft.com/office/drawing/2014/chart" uri="{C3380CC4-5D6E-409C-BE32-E72D297353CC}">
              <c16:uniqueId val="{00000001-6977-4DB7-A845-E9D19141EA92}"/>
            </c:ext>
          </c:extLst>
        </c:ser>
        <c:dLbls>
          <c:showLegendKey val="0"/>
          <c:showVal val="0"/>
          <c:showCatName val="0"/>
          <c:showSerName val="0"/>
          <c:showPercent val="0"/>
          <c:showBubbleSize val="0"/>
        </c:dLbls>
        <c:marker val="1"/>
        <c:smooth val="0"/>
        <c:axId val="154103296"/>
        <c:axId val="145529600"/>
      </c:lineChart>
      <c:catAx>
        <c:axId val="154103296"/>
        <c:scaling>
          <c:orientation val="minMax"/>
        </c:scaling>
        <c:delete val="0"/>
        <c:axPos val="b"/>
        <c:numFmt formatCode="General" sourceLinked="1"/>
        <c:majorTickMark val="none"/>
        <c:minorTickMark val="none"/>
        <c:tickLblPos val="low"/>
        <c:spPr>
          <a:noFill/>
          <a:ln w="15875" cap="flat" cmpd="sng" algn="ctr">
            <a:solidFill>
              <a:schemeClr val="tx1"/>
            </a:solidFill>
            <a:round/>
          </a:ln>
          <a:effectLst/>
        </c:spPr>
        <c:txPr>
          <a:bodyPr rot="-5400000" spcFirstLastPara="1" vertOverflow="ellipsis" wrap="square" anchor="ctr" anchorCtr="1"/>
          <a:lstStyle/>
          <a:p>
            <a:pPr>
              <a:defRPr sz="1000" b="0" i="0" u="none" strike="noStrike" kern="1200" baseline="0">
                <a:solidFill>
                  <a:schemeClr val="tx1"/>
                </a:solidFill>
                <a:latin typeface="HelveticaNeueLT Std"/>
                <a:ea typeface="+mn-ea"/>
                <a:cs typeface="+mn-cs"/>
              </a:defRPr>
            </a:pPr>
            <a:endParaRPr lang="it-IT"/>
          </a:p>
        </c:txPr>
        <c:crossAx val="145529600"/>
        <c:crossesAt val="0"/>
        <c:auto val="1"/>
        <c:lblAlgn val="ctr"/>
        <c:lblOffset val="100"/>
        <c:tickLblSkip val="1"/>
        <c:noMultiLvlLbl val="0"/>
      </c:catAx>
      <c:valAx>
        <c:axId val="145529600"/>
        <c:scaling>
          <c:orientation val="minMax"/>
          <c:max val="6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HelveticaNeueLT Std"/>
                    <a:ea typeface="+mn-ea"/>
                    <a:cs typeface="+mn-cs"/>
                  </a:defRPr>
                </a:pPr>
                <a:r>
                  <a:rPr lang="de-DE" dirty="0" err="1"/>
                  <a:t>Percentage</a:t>
                </a:r>
                <a:r>
                  <a:rPr lang="de-DE" dirty="0"/>
                  <a:t> </a:t>
                </a:r>
                <a:r>
                  <a:rPr lang="de-DE" dirty="0" err="1"/>
                  <a:t>of</a:t>
                </a:r>
                <a:r>
                  <a:rPr lang="de-DE" dirty="0"/>
                  <a:t> </a:t>
                </a:r>
                <a:r>
                  <a:rPr lang="de-DE" dirty="0" err="1"/>
                  <a:t>students</a:t>
                </a:r>
                <a:endParaRPr lang="de-DE" dirty="0"/>
              </a:p>
            </c:rich>
          </c:tx>
          <c:layout>
            <c:manualLayout>
              <c:xMode val="edge"/>
              <c:yMode val="edge"/>
              <c:x val="1.409687483384835E-2"/>
              <c:y val="0.17102604617707665"/>
            </c:manualLayout>
          </c:layout>
          <c:overlay val="0"/>
          <c:spPr>
            <a:noFill/>
            <a:ln>
              <a:noFill/>
            </a:ln>
            <a:effectLst/>
          </c:spPr>
        </c:title>
        <c:numFmt formatCode="0" sourceLinked="0"/>
        <c:majorTickMark val="none"/>
        <c:minorTickMark val="none"/>
        <c:tickLblPos val="low"/>
        <c:spPr>
          <a:noFill/>
          <a:ln>
            <a:solidFill>
              <a:schemeClr val="tx1"/>
            </a:solidFill>
          </a:ln>
          <a:effectLst/>
        </c:spPr>
        <c:txPr>
          <a:bodyPr rot="-60000000" spcFirstLastPara="1" vertOverflow="ellipsis" vert="horz" wrap="square" anchor="ctr" anchorCtr="1"/>
          <a:lstStyle/>
          <a:p>
            <a:pPr>
              <a:defRPr sz="1000" b="0" i="0" u="none" strike="noStrike" kern="1200" baseline="0">
                <a:solidFill>
                  <a:schemeClr val="tx1"/>
                </a:solidFill>
                <a:latin typeface="HelveticaNeueLT Std"/>
                <a:ea typeface="+mn-ea"/>
                <a:cs typeface="+mn-cs"/>
              </a:defRPr>
            </a:pPr>
            <a:endParaRPr lang="it-IT"/>
          </a:p>
        </c:txPr>
        <c:crossAx val="154103296"/>
        <c:crossesAt val="1"/>
        <c:crossBetween val="between"/>
      </c:valAx>
      <c:spPr>
        <a:noFill/>
        <a:ln>
          <a:solidFill>
            <a:srgbClr val="0077A0"/>
          </a:solidFill>
        </a:ln>
        <a:effectLst/>
      </c:spPr>
    </c:plotArea>
    <c:legend>
      <c:legendPos val="t"/>
      <c:legendEntry>
        <c:idx val="1"/>
        <c:delete val="1"/>
      </c:legendEntry>
      <c:legendEntry>
        <c:idx val="3"/>
        <c:delete val="1"/>
      </c:legendEntry>
      <c:layout>
        <c:manualLayout>
          <c:xMode val="edge"/>
          <c:yMode val="edge"/>
          <c:x val="0.11395847016274342"/>
          <c:y val="6.5956123597620906E-3"/>
          <c:w val="0.75375701139149587"/>
          <c:h val="5.627121988966631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HelveticaNeueLT Std"/>
              <a:ea typeface="+mn-ea"/>
              <a:cs typeface="+mn-cs"/>
            </a:defRPr>
          </a:pPr>
          <a:endParaRPr lang="it-IT"/>
        </a:p>
      </c:txPr>
    </c:legend>
    <c:plotVisOnly val="1"/>
    <c:dispBlanksAs val="gap"/>
    <c:showDLblsOverMax val="0"/>
  </c:chart>
  <c:spPr>
    <a:noFill/>
    <a:ln>
      <a:noFill/>
    </a:ln>
    <a:effectLst/>
  </c:spPr>
  <c:txPr>
    <a:bodyPr/>
    <a:lstStyle/>
    <a:p>
      <a:pPr>
        <a:defRPr sz="1000">
          <a:solidFill>
            <a:schemeClr val="tx1"/>
          </a:solidFill>
          <a:latin typeface="HelveticaNeueLT Std"/>
        </a:defRPr>
      </a:pPr>
      <a:endParaRPr lang="it-IT"/>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altName w:val="Times New Roman"/>
    <w:panose1 w:val="00000000000000000000"/>
    <w:charset w:val="00"/>
    <w:family w:val="roman"/>
    <w:notTrueType/>
    <w:pitch w:val="default"/>
  </w:font>
  <w:font w:name="MS PGothic">
    <w:panose1 w:val="020B0600070205080204"/>
    <w:charset w:val="80"/>
    <w:family w:val="swiss"/>
    <w:pitch w:val="variable"/>
    <w:sig w:usb0="E00002FF" w:usb1="6AC7FDFB" w:usb2="00000012" w:usb3="00000000" w:csb0="0002009F" w:csb1="00000000"/>
  </w:font>
  <w:font w:name="HelveticaNeueLT Std Med">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45"/>
    <w:rsid w:val="007747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82E56C1FF7B4AA8A1B4AA8710D9C888">
    <w:name w:val="782E56C1FF7B4AA8A1B4AA8710D9C888"/>
    <w:rsid w:val="0077474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782E56C1FF7B4AA8A1B4AA8710D9C888">
    <w:name w:val="782E56C1FF7B4AA8A1B4AA8710D9C888"/>
    <w:rsid w:val="00774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D2258-0B7D-4F37-835E-5238F5B91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15</Pages>
  <Words>4543</Words>
  <Characters>25899</Characters>
  <Application>Microsoft Office Word</Application>
  <DocSecurity>0</DocSecurity>
  <Lines>215</Lines>
  <Paragraphs>60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Maryrose Francica</dc:creator>
  <cp:lastModifiedBy>Administrator</cp:lastModifiedBy>
  <cp:revision>8</cp:revision>
  <dcterms:created xsi:type="dcterms:W3CDTF">2016-12-20T13:50:00Z</dcterms:created>
  <dcterms:modified xsi:type="dcterms:W3CDTF">2017-01-02T12:04:00Z</dcterms:modified>
</cp:coreProperties>
</file>